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5"/>
        <w:gridCol w:w="1463"/>
        <w:gridCol w:w="708"/>
        <w:gridCol w:w="3341"/>
        <w:gridCol w:w="3336"/>
      </w:tblGrid>
      <w:tr w:rsidR="00C068BE" w14:paraId="683685DB" w14:textId="77777777">
        <w:tblPrEx>
          <w:tblCellMar>
            <w:top w:w="0" w:type="dxa"/>
            <w:bottom w:w="0" w:type="dxa"/>
          </w:tblCellMar>
        </w:tblPrEx>
        <w:tc>
          <w:tcPr>
            <w:tcW w:w="1165" w:type="dxa"/>
            <w:tcBorders>
              <w:right w:val="nil"/>
            </w:tcBorders>
          </w:tcPr>
          <w:p w14:paraId="228F55A0" w14:textId="77777777" w:rsidR="00C068BE" w:rsidRDefault="005B09DD">
            <w:pPr>
              <w:spacing w:before="120" w:after="120"/>
              <w:jc w:val="center"/>
            </w:pPr>
            <w:bookmarkStart w:id="0" w:name="_GoBack"/>
            <w:bookmarkEnd w:id="0"/>
            <w:r>
              <w:rPr>
                <w:noProof/>
              </w:rPr>
              <w:drawing>
                <wp:inline distT="0" distB="0" distL="0" distR="0" wp14:anchorId="5D6F250A" wp14:editId="0BECE8AC">
                  <wp:extent cx="588645" cy="914400"/>
                  <wp:effectExtent l="0" t="0" r="0" b="0"/>
                  <wp:docPr id="1" name="Picture 1" descr="unicrest09-OH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icrest09-OHS"/>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645" cy="914400"/>
                          </a:xfrm>
                          <a:prstGeom prst="rect">
                            <a:avLst/>
                          </a:prstGeom>
                          <a:noFill/>
                          <a:ln>
                            <a:noFill/>
                          </a:ln>
                        </pic:spPr>
                      </pic:pic>
                    </a:graphicData>
                  </a:graphic>
                </wp:inline>
              </w:drawing>
            </w:r>
          </w:p>
        </w:tc>
        <w:tc>
          <w:tcPr>
            <w:tcW w:w="8848" w:type="dxa"/>
            <w:gridSpan w:val="4"/>
            <w:tcBorders>
              <w:left w:val="nil"/>
            </w:tcBorders>
            <w:vAlign w:val="center"/>
          </w:tcPr>
          <w:p w14:paraId="6FD4988E" w14:textId="77777777" w:rsidR="00C068BE" w:rsidRDefault="00C068BE" w:rsidP="00C068BE">
            <w:pPr>
              <w:rPr>
                <w:b/>
              </w:rPr>
            </w:pPr>
            <w:r>
              <w:rPr>
                <w:b/>
                <w:sz w:val="44"/>
              </w:rPr>
              <w:t xml:space="preserve">           </w:t>
            </w:r>
            <w:r>
              <w:rPr>
                <w:b/>
                <w:sz w:val="56"/>
              </w:rPr>
              <w:t>Safe Operating Procedure</w:t>
            </w:r>
          </w:p>
          <w:p w14:paraId="49ED6E71" w14:textId="77777777" w:rsidR="00C068BE" w:rsidRPr="001E061E" w:rsidRDefault="00C068BE" w:rsidP="00C068BE">
            <w:pPr>
              <w:jc w:val="center"/>
              <w:rPr>
                <w:b/>
              </w:rPr>
            </w:pPr>
          </w:p>
          <w:p w14:paraId="34B2C808" w14:textId="77777777" w:rsidR="00C068BE" w:rsidRPr="00E30163" w:rsidRDefault="00C068BE" w:rsidP="00C068BE">
            <w:pPr>
              <w:jc w:val="center"/>
              <w:rPr>
                <w:b/>
                <w:i/>
                <w:sz w:val="44"/>
                <w:szCs w:val="44"/>
                <w:u w:val="single"/>
              </w:rPr>
            </w:pPr>
            <w:r w:rsidRPr="00E30163">
              <w:rPr>
                <w:b/>
                <w:i/>
                <w:sz w:val="44"/>
                <w:szCs w:val="44"/>
                <w:u w:val="single"/>
              </w:rPr>
              <w:t>Recombinant adenovirus and lentivirus safety</w:t>
            </w:r>
          </w:p>
          <w:p w14:paraId="49B0B2B9" w14:textId="77777777" w:rsidR="00C068BE" w:rsidRPr="001E061E" w:rsidRDefault="00C068BE" w:rsidP="00C068BE">
            <w:pPr>
              <w:jc w:val="center"/>
              <w:rPr>
                <w:b/>
                <w:i/>
                <w:u w:val="single"/>
              </w:rPr>
            </w:pPr>
          </w:p>
          <w:p w14:paraId="1AC5388E" w14:textId="77777777" w:rsidR="00C068BE" w:rsidRPr="00E30163" w:rsidRDefault="00C068BE" w:rsidP="00E30163">
            <w:pPr>
              <w:jc w:val="center"/>
              <w:rPr>
                <w:rFonts w:ascii="Arial" w:hAnsi="Arial" w:cs="Arial"/>
                <w:b/>
                <w:sz w:val="22"/>
                <w:szCs w:val="22"/>
                <w:u w:val="single"/>
              </w:rPr>
            </w:pPr>
            <w:r w:rsidRPr="00E30163">
              <w:rPr>
                <w:rFonts w:ascii="Arial" w:hAnsi="Arial" w:cs="Arial"/>
                <w:b/>
                <w:sz w:val="22"/>
                <w:szCs w:val="22"/>
              </w:rPr>
              <w:t>Generic safety methods for working with recombinant adenovirus and lentivirus</w:t>
            </w:r>
          </w:p>
          <w:p w14:paraId="1B174ECB" w14:textId="77777777" w:rsidR="00C068BE" w:rsidRPr="001E061E" w:rsidRDefault="00C068BE" w:rsidP="00C068BE">
            <w:pPr>
              <w:rPr>
                <w:b/>
                <w:i/>
              </w:rPr>
            </w:pPr>
          </w:p>
        </w:tc>
      </w:tr>
      <w:tr w:rsidR="00C068BE" w14:paraId="790EB526" w14:textId="77777777">
        <w:tblPrEx>
          <w:tblCellMar>
            <w:top w:w="0" w:type="dxa"/>
            <w:bottom w:w="0" w:type="dxa"/>
          </w:tblCellMar>
        </w:tblPrEx>
        <w:trPr>
          <w:trHeight w:val="364"/>
        </w:trPr>
        <w:tc>
          <w:tcPr>
            <w:tcW w:w="3336" w:type="dxa"/>
            <w:gridSpan w:val="3"/>
            <w:shd w:val="clear" w:color="auto" w:fill="808080"/>
            <w:vAlign w:val="center"/>
          </w:tcPr>
          <w:p w14:paraId="0EBA00AC" w14:textId="77777777" w:rsidR="00C068BE" w:rsidRDefault="00C068BE" w:rsidP="00C068BE">
            <w:pPr>
              <w:jc w:val="center"/>
              <w:rPr>
                <w:rFonts w:ascii="Arial" w:hAnsi="Arial"/>
                <w:b/>
                <w:color w:val="FFFFFF"/>
              </w:rPr>
            </w:pPr>
            <w:r>
              <w:rPr>
                <w:rFonts w:ascii="Arial" w:hAnsi="Arial"/>
                <w:b/>
                <w:color w:val="FFFFFF"/>
              </w:rPr>
              <w:t>S.O.P   NUMBER</w:t>
            </w:r>
          </w:p>
        </w:tc>
        <w:tc>
          <w:tcPr>
            <w:tcW w:w="3341" w:type="dxa"/>
            <w:shd w:val="clear" w:color="auto" w:fill="808080"/>
          </w:tcPr>
          <w:p w14:paraId="10B87F5C" w14:textId="77777777" w:rsidR="00C068BE" w:rsidRDefault="00C068BE" w:rsidP="00C068BE">
            <w:pPr>
              <w:jc w:val="center"/>
              <w:rPr>
                <w:rFonts w:ascii="Arial" w:hAnsi="Arial"/>
                <w:b/>
                <w:color w:val="FFFFFF"/>
              </w:rPr>
            </w:pPr>
            <w:r>
              <w:rPr>
                <w:rFonts w:ascii="Arial" w:hAnsi="Arial"/>
                <w:b/>
                <w:color w:val="FFFFFF"/>
              </w:rPr>
              <w:t>RISK ASSESSMENT      NUMBER</w:t>
            </w:r>
          </w:p>
        </w:tc>
        <w:tc>
          <w:tcPr>
            <w:tcW w:w="3336" w:type="dxa"/>
            <w:tcBorders>
              <w:bottom w:val="single" w:sz="4" w:space="0" w:color="auto"/>
            </w:tcBorders>
            <w:shd w:val="clear" w:color="auto" w:fill="808080"/>
            <w:vAlign w:val="center"/>
          </w:tcPr>
          <w:p w14:paraId="10FA9ABB" w14:textId="77777777" w:rsidR="00C068BE" w:rsidRDefault="00C068BE" w:rsidP="00C068BE">
            <w:pPr>
              <w:jc w:val="center"/>
              <w:rPr>
                <w:rFonts w:ascii="Arial" w:hAnsi="Arial"/>
                <w:b/>
                <w:color w:val="FFFFFF"/>
              </w:rPr>
            </w:pPr>
            <w:r>
              <w:rPr>
                <w:rFonts w:ascii="Arial" w:hAnsi="Arial"/>
                <w:b/>
                <w:color w:val="FFFFFF"/>
              </w:rPr>
              <w:t>RISK ASSESSMENT</w:t>
            </w:r>
          </w:p>
        </w:tc>
      </w:tr>
      <w:tr w:rsidR="00C068BE" w14:paraId="241DBB0D" w14:textId="77777777">
        <w:tblPrEx>
          <w:tblCellMar>
            <w:top w:w="0" w:type="dxa"/>
            <w:bottom w:w="0" w:type="dxa"/>
          </w:tblCellMar>
        </w:tblPrEx>
        <w:trPr>
          <w:trHeight w:val="690"/>
        </w:trPr>
        <w:tc>
          <w:tcPr>
            <w:tcW w:w="3336" w:type="dxa"/>
            <w:gridSpan w:val="3"/>
            <w:tcBorders>
              <w:bottom w:val="single" w:sz="4" w:space="0" w:color="auto"/>
            </w:tcBorders>
            <w:vAlign w:val="center"/>
          </w:tcPr>
          <w:p w14:paraId="44485C01" w14:textId="77777777" w:rsidR="00C068BE" w:rsidRDefault="00EE3250" w:rsidP="00C068BE">
            <w:pPr>
              <w:jc w:val="center"/>
              <w:rPr>
                <w:rFonts w:ascii="Arial" w:hAnsi="Arial"/>
                <w:b/>
              </w:rPr>
            </w:pPr>
            <w:r>
              <w:rPr>
                <w:rFonts w:ascii="Arial" w:hAnsi="Arial"/>
                <w:b/>
              </w:rPr>
              <w:t xml:space="preserve">Safe Work MS# </w:t>
            </w:r>
            <w:r w:rsidR="00985DF6" w:rsidRPr="00985DF6">
              <w:rPr>
                <w:rFonts w:ascii="Arial" w:hAnsi="Arial"/>
                <w:b/>
                <w:highlight w:val="yellow"/>
              </w:rPr>
              <w:t>XXXX</w:t>
            </w:r>
          </w:p>
          <w:p w14:paraId="26FE6D1A" w14:textId="77777777" w:rsidR="00C068BE" w:rsidRPr="00296589" w:rsidRDefault="00C068BE" w:rsidP="00C068BE">
            <w:pPr>
              <w:jc w:val="center"/>
              <w:rPr>
                <w:rFonts w:ascii="Arial" w:hAnsi="Arial"/>
                <w:sz w:val="20"/>
                <w:szCs w:val="20"/>
              </w:rPr>
            </w:pPr>
          </w:p>
        </w:tc>
        <w:tc>
          <w:tcPr>
            <w:tcW w:w="3341" w:type="dxa"/>
            <w:tcBorders>
              <w:bottom w:val="single" w:sz="4" w:space="0" w:color="auto"/>
            </w:tcBorders>
            <w:vAlign w:val="center"/>
          </w:tcPr>
          <w:p w14:paraId="09AC5704" w14:textId="77777777" w:rsidR="00C068BE" w:rsidRPr="00296589" w:rsidRDefault="005B3131" w:rsidP="00985DF6">
            <w:pPr>
              <w:jc w:val="center"/>
              <w:rPr>
                <w:rFonts w:ascii="Arial" w:hAnsi="Arial"/>
                <w:sz w:val="20"/>
                <w:szCs w:val="20"/>
              </w:rPr>
            </w:pPr>
            <w:r>
              <w:rPr>
                <w:rFonts w:ascii="Arial" w:hAnsi="Arial"/>
                <w:sz w:val="20"/>
                <w:szCs w:val="20"/>
              </w:rPr>
              <w:t xml:space="preserve">RA </w:t>
            </w:r>
            <w:r w:rsidR="00985DF6" w:rsidRPr="00985DF6">
              <w:rPr>
                <w:rFonts w:ascii="Arial" w:hAnsi="Arial"/>
                <w:sz w:val="20"/>
                <w:szCs w:val="20"/>
                <w:highlight w:val="yellow"/>
              </w:rPr>
              <w:t>XXXX</w:t>
            </w:r>
          </w:p>
        </w:tc>
        <w:tc>
          <w:tcPr>
            <w:tcW w:w="3336" w:type="dxa"/>
            <w:tcBorders>
              <w:bottom w:val="single" w:sz="4" w:space="0" w:color="auto"/>
            </w:tcBorders>
            <w:shd w:val="clear" w:color="auto" w:fill="FF9900"/>
            <w:vAlign w:val="center"/>
          </w:tcPr>
          <w:p w14:paraId="3392DC64" w14:textId="77777777" w:rsidR="00C068BE" w:rsidRPr="00296589" w:rsidRDefault="00C068BE" w:rsidP="00403FFF">
            <w:pPr>
              <w:jc w:val="center"/>
              <w:rPr>
                <w:rFonts w:ascii="Arial" w:hAnsi="Arial"/>
                <w:sz w:val="20"/>
                <w:szCs w:val="20"/>
              </w:rPr>
            </w:pPr>
            <w:r w:rsidRPr="001E061E">
              <w:rPr>
                <w:rFonts w:ascii="Arial" w:hAnsi="Arial"/>
                <w:b/>
                <w:sz w:val="28"/>
              </w:rPr>
              <w:t>Medium</w:t>
            </w:r>
          </w:p>
        </w:tc>
      </w:tr>
      <w:tr w:rsidR="00C068BE" w14:paraId="02EF34D4" w14:textId="77777777">
        <w:tblPrEx>
          <w:tblCellMar>
            <w:top w:w="0" w:type="dxa"/>
            <w:bottom w:w="0" w:type="dxa"/>
          </w:tblCellMar>
        </w:tblPrEx>
        <w:tc>
          <w:tcPr>
            <w:tcW w:w="2628" w:type="dxa"/>
            <w:gridSpan w:val="2"/>
            <w:shd w:val="clear" w:color="auto" w:fill="808080"/>
            <w:vAlign w:val="center"/>
          </w:tcPr>
          <w:p w14:paraId="239DA995" w14:textId="77777777" w:rsidR="00C068BE" w:rsidRDefault="00C068BE" w:rsidP="00C068BE">
            <w:pPr>
              <w:jc w:val="center"/>
              <w:rPr>
                <w:rFonts w:ascii="Arial" w:hAnsi="Arial"/>
                <w:b/>
                <w:color w:val="FFFFFF"/>
              </w:rPr>
            </w:pPr>
            <w:r>
              <w:rPr>
                <w:rFonts w:ascii="Arial" w:hAnsi="Arial"/>
                <w:b/>
                <w:color w:val="FFFFFF"/>
              </w:rPr>
              <w:t>DATE CREATED</w:t>
            </w:r>
          </w:p>
        </w:tc>
        <w:tc>
          <w:tcPr>
            <w:tcW w:w="4049" w:type="dxa"/>
            <w:gridSpan w:val="2"/>
            <w:shd w:val="clear" w:color="auto" w:fill="808080"/>
          </w:tcPr>
          <w:p w14:paraId="727F7405" w14:textId="77777777" w:rsidR="00C068BE" w:rsidRDefault="00C068BE">
            <w:pPr>
              <w:rPr>
                <w:rFonts w:ascii="Arial" w:hAnsi="Arial"/>
                <w:b/>
                <w:color w:val="FFFFFF"/>
              </w:rPr>
            </w:pPr>
            <w:r>
              <w:rPr>
                <w:rFonts w:ascii="Arial" w:hAnsi="Arial"/>
                <w:b/>
                <w:color w:val="FFFFFF"/>
              </w:rPr>
              <w:t>Employees Involved in SOP Creation</w:t>
            </w:r>
          </w:p>
        </w:tc>
        <w:tc>
          <w:tcPr>
            <w:tcW w:w="3336" w:type="dxa"/>
            <w:shd w:val="clear" w:color="auto" w:fill="808080"/>
            <w:vAlign w:val="center"/>
          </w:tcPr>
          <w:p w14:paraId="1E92DB2E" w14:textId="77777777" w:rsidR="00C068BE" w:rsidRDefault="00C068BE" w:rsidP="00C068BE">
            <w:pPr>
              <w:jc w:val="center"/>
              <w:rPr>
                <w:rFonts w:ascii="Arial" w:hAnsi="Arial"/>
                <w:b/>
                <w:color w:val="FFFFFF"/>
              </w:rPr>
            </w:pPr>
            <w:r>
              <w:rPr>
                <w:rFonts w:ascii="Arial" w:hAnsi="Arial"/>
                <w:b/>
                <w:color w:val="FFFFFF"/>
              </w:rPr>
              <w:t>REVIEW DATE</w:t>
            </w:r>
          </w:p>
        </w:tc>
      </w:tr>
      <w:tr w:rsidR="00C068BE" w14:paraId="76233256" w14:textId="77777777">
        <w:tblPrEx>
          <w:tblCellMar>
            <w:top w:w="0" w:type="dxa"/>
            <w:bottom w:w="0" w:type="dxa"/>
          </w:tblCellMar>
        </w:tblPrEx>
        <w:trPr>
          <w:trHeight w:val="573"/>
        </w:trPr>
        <w:tc>
          <w:tcPr>
            <w:tcW w:w="2628" w:type="dxa"/>
            <w:gridSpan w:val="2"/>
            <w:tcBorders>
              <w:bottom w:val="single" w:sz="4" w:space="0" w:color="auto"/>
            </w:tcBorders>
            <w:vAlign w:val="center"/>
          </w:tcPr>
          <w:p w14:paraId="2DCA5693" w14:textId="77777777" w:rsidR="00C068BE" w:rsidRPr="001E061E" w:rsidRDefault="00985DF6" w:rsidP="00EE3250">
            <w:pPr>
              <w:pStyle w:val="Heading2"/>
              <w:jc w:val="center"/>
              <w:rPr>
                <w:sz w:val="28"/>
              </w:rPr>
            </w:pPr>
            <w:r w:rsidRPr="00985DF6">
              <w:rPr>
                <w:sz w:val="28"/>
                <w:highlight w:val="yellow"/>
              </w:rPr>
              <w:t>XXXX</w:t>
            </w:r>
          </w:p>
        </w:tc>
        <w:tc>
          <w:tcPr>
            <w:tcW w:w="4049" w:type="dxa"/>
            <w:gridSpan w:val="2"/>
            <w:tcBorders>
              <w:bottom w:val="single" w:sz="4" w:space="0" w:color="auto"/>
            </w:tcBorders>
            <w:vAlign w:val="center"/>
          </w:tcPr>
          <w:p w14:paraId="466809AA" w14:textId="77777777" w:rsidR="00C068BE" w:rsidRPr="00E30163" w:rsidRDefault="00985DF6" w:rsidP="00985DF6">
            <w:pPr>
              <w:jc w:val="center"/>
              <w:rPr>
                <w:rFonts w:ascii="Arial" w:hAnsi="Arial" w:cs="Arial"/>
                <w:sz w:val="32"/>
              </w:rPr>
            </w:pPr>
            <w:r w:rsidRPr="00985DF6">
              <w:rPr>
                <w:rFonts w:ascii="Arial" w:hAnsi="Arial" w:cs="Arial"/>
                <w:b/>
                <w:sz w:val="22"/>
                <w:szCs w:val="22"/>
                <w:highlight w:val="yellow"/>
              </w:rPr>
              <w:t>XXXX</w:t>
            </w:r>
          </w:p>
        </w:tc>
        <w:tc>
          <w:tcPr>
            <w:tcW w:w="3336" w:type="dxa"/>
            <w:tcBorders>
              <w:bottom w:val="single" w:sz="4" w:space="0" w:color="auto"/>
            </w:tcBorders>
            <w:vAlign w:val="center"/>
          </w:tcPr>
          <w:p w14:paraId="20479B72" w14:textId="77777777" w:rsidR="00C068BE" w:rsidRPr="001E061E" w:rsidRDefault="00985DF6" w:rsidP="00EE3250">
            <w:pPr>
              <w:pStyle w:val="Heading1"/>
              <w:rPr>
                <w:sz w:val="28"/>
              </w:rPr>
            </w:pPr>
            <w:r w:rsidRPr="00985DF6">
              <w:rPr>
                <w:sz w:val="28"/>
                <w:highlight w:val="yellow"/>
              </w:rPr>
              <w:t>XXXX</w:t>
            </w:r>
          </w:p>
        </w:tc>
      </w:tr>
      <w:tr w:rsidR="00C068BE" w14:paraId="5639A65E" w14:textId="77777777">
        <w:tblPrEx>
          <w:tblCellMar>
            <w:top w:w="0" w:type="dxa"/>
            <w:bottom w:w="0" w:type="dxa"/>
          </w:tblCellMar>
        </w:tblPrEx>
        <w:tc>
          <w:tcPr>
            <w:tcW w:w="10013" w:type="dxa"/>
            <w:gridSpan w:val="5"/>
            <w:shd w:val="clear" w:color="auto" w:fill="808080"/>
            <w:vAlign w:val="center"/>
          </w:tcPr>
          <w:p w14:paraId="3F4F09D9" w14:textId="77777777" w:rsidR="00C068BE" w:rsidRDefault="00C068BE" w:rsidP="00C068BE">
            <w:pPr>
              <w:jc w:val="center"/>
              <w:rPr>
                <w:rFonts w:ascii="Arial" w:hAnsi="Arial"/>
                <w:b/>
                <w:color w:val="FFFFFF"/>
              </w:rPr>
            </w:pPr>
            <w:r>
              <w:rPr>
                <w:rFonts w:ascii="Arial" w:hAnsi="Arial"/>
                <w:b/>
                <w:color w:val="FFFFFF"/>
              </w:rPr>
              <w:t>Personal Protective Equipment Required</w:t>
            </w:r>
          </w:p>
        </w:tc>
      </w:tr>
      <w:tr w:rsidR="00C068BE" w14:paraId="105E4B47" w14:textId="77777777">
        <w:tblPrEx>
          <w:tblCellMar>
            <w:top w:w="0" w:type="dxa"/>
            <w:bottom w:w="0" w:type="dxa"/>
          </w:tblCellMar>
        </w:tblPrEx>
        <w:trPr>
          <w:trHeight w:val="895"/>
        </w:trPr>
        <w:tc>
          <w:tcPr>
            <w:tcW w:w="10013" w:type="dxa"/>
            <w:gridSpan w:val="5"/>
            <w:vAlign w:val="center"/>
          </w:tcPr>
          <w:p w14:paraId="7CB04A7F" w14:textId="77777777" w:rsidR="00C068BE" w:rsidRPr="00E30163" w:rsidRDefault="00C068BE" w:rsidP="00C068BE">
            <w:pPr>
              <w:numPr>
                <w:ilvl w:val="0"/>
                <w:numId w:val="5"/>
              </w:numPr>
              <w:rPr>
                <w:rFonts w:ascii="Arial" w:hAnsi="Arial" w:cs="Arial"/>
                <w:b/>
                <w:sz w:val="22"/>
                <w:szCs w:val="22"/>
              </w:rPr>
            </w:pPr>
            <w:r w:rsidRPr="00E30163">
              <w:rPr>
                <w:rFonts w:ascii="Arial" w:hAnsi="Arial" w:cs="Arial"/>
                <w:b/>
                <w:sz w:val="22"/>
                <w:szCs w:val="22"/>
              </w:rPr>
              <w:t xml:space="preserve">Gloves – to be worn throughout entire procedure </w:t>
            </w:r>
          </w:p>
          <w:p w14:paraId="1226EEFD" w14:textId="77777777" w:rsidR="00C068BE" w:rsidRPr="00E30163" w:rsidRDefault="00C068BE" w:rsidP="00C068BE">
            <w:pPr>
              <w:numPr>
                <w:ilvl w:val="0"/>
                <w:numId w:val="5"/>
              </w:numPr>
              <w:rPr>
                <w:rFonts w:ascii="Arial" w:hAnsi="Arial" w:cs="Arial"/>
                <w:b/>
                <w:sz w:val="22"/>
                <w:szCs w:val="22"/>
              </w:rPr>
            </w:pPr>
            <w:r w:rsidRPr="00E30163">
              <w:rPr>
                <w:rFonts w:ascii="Arial" w:hAnsi="Arial" w:cs="Arial"/>
                <w:b/>
                <w:sz w:val="22"/>
                <w:szCs w:val="22"/>
              </w:rPr>
              <w:t>Cuffed, long sleeved rear fastening laboratory gown</w:t>
            </w:r>
          </w:p>
          <w:p w14:paraId="7AAB1555" w14:textId="77777777" w:rsidR="00C068BE" w:rsidRPr="00E30163" w:rsidRDefault="00C068BE" w:rsidP="00C068BE">
            <w:pPr>
              <w:numPr>
                <w:ilvl w:val="0"/>
                <w:numId w:val="5"/>
              </w:numPr>
              <w:rPr>
                <w:rFonts w:ascii="Arial" w:hAnsi="Arial" w:cs="Arial"/>
                <w:b/>
                <w:sz w:val="22"/>
                <w:szCs w:val="22"/>
              </w:rPr>
            </w:pPr>
            <w:r w:rsidRPr="00E30163">
              <w:rPr>
                <w:rFonts w:ascii="Arial" w:hAnsi="Arial" w:cs="Arial"/>
                <w:b/>
                <w:sz w:val="22"/>
                <w:szCs w:val="22"/>
              </w:rPr>
              <w:t>Covered shoes</w:t>
            </w:r>
          </w:p>
        </w:tc>
      </w:tr>
      <w:tr w:rsidR="00C068BE" w14:paraId="570319CE" w14:textId="77777777">
        <w:tblPrEx>
          <w:tblCellMar>
            <w:top w:w="0" w:type="dxa"/>
            <w:bottom w:w="0" w:type="dxa"/>
          </w:tblCellMar>
        </w:tblPrEx>
        <w:trPr>
          <w:trHeight w:val="296"/>
        </w:trPr>
        <w:tc>
          <w:tcPr>
            <w:tcW w:w="10013" w:type="dxa"/>
            <w:gridSpan w:val="5"/>
            <w:tcBorders>
              <w:top w:val="single" w:sz="4" w:space="0" w:color="auto"/>
              <w:left w:val="single" w:sz="4" w:space="0" w:color="auto"/>
              <w:bottom w:val="single" w:sz="48" w:space="0" w:color="FF0000"/>
              <w:right w:val="single" w:sz="4" w:space="0" w:color="auto"/>
            </w:tcBorders>
            <w:shd w:val="clear" w:color="auto" w:fill="808080"/>
            <w:vAlign w:val="center"/>
          </w:tcPr>
          <w:p w14:paraId="0C7A9DC4" w14:textId="77777777" w:rsidR="00C068BE" w:rsidRPr="00E30163" w:rsidRDefault="00C068BE" w:rsidP="00C068BE">
            <w:pPr>
              <w:rPr>
                <w:rFonts w:ascii="Arial" w:hAnsi="Arial"/>
                <w:b/>
                <w:color w:val="FFFFFF"/>
                <w:sz w:val="22"/>
                <w:szCs w:val="22"/>
              </w:rPr>
            </w:pPr>
            <w:r w:rsidRPr="00E30163">
              <w:rPr>
                <w:rFonts w:ascii="Arial" w:hAnsi="Arial"/>
                <w:b/>
                <w:sz w:val="22"/>
                <w:szCs w:val="22"/>
              </w:rPr>
              <w:t xml:space="preserve">                                                   </w:t>
            </w:r>
            <w:r w:rsidRPr="00E30163">
              <w:rPr>
                <w:rFonts w:ascii="Arial" w:hAnsi="Arial"/>
                <w:b/>
                <w:sz w:val="22"/>
                <w:szCs w:val="22"/>
                <w:shd w:val="clear" w:color="auto" w:fill="8C8C8C"/>
              </w:rPr>
              <w:t xml:space="preserve">     </w:t>
            </w:r>
            <w:r w:rsidRPr="00E30163">
              <w:rPr>
                <w:rFonts w:ascii="Arial" w:hAnsi="Arial"/>
                <w:b/>
                <w:color w:val="FFFFFF"/>
                <w:sz w:val="22"/>
                <w:szCs w:val="22"/>
                <w:shd w:val="clear" w:color="auto" w:fill="8C8C8C"/>
              </w:rPr>
              <w:t>Hazards</w:t>
            </w:r>
          </w:p>
        </w:tc>
      </w:tr>
      <w:tr w:rsidR="00C068BE" w14:paraId="5334419A" w14:textId="77777777">
        <w:tblPrEx>
          <w:tblCellMar>
            <w:top w:w="0" w:type="dxa"/>
            <w:bottom w:w="0" w:type="dxa"/>
          </w:tblCellMar>
        </w:tblPrEx>
        <w:trPr>
          <w:trHeight w:val="721"/>
        </w:trPr>
        <w:tc>
          <w:tcPr>
            <w:tcW w:w="10013" w:type="dxa"/>
            <w:gridSpan w:val="5"/>
            <w:tcBorders>
              <w:top w:val="single" w:sz="48" w:space="0" w:color="FF0000"/>
              <w:left w:val="single" w:sz="48" w:space="0" w:color="FF0000"/>
              <w:bottom w:val="single" w:sz="48" w:space="0" w:color="FF0000"/>
              <w:right w:val="single" w:sz="48" w:space="0" w:color="FF0000"/>
            </w:tcBorders>
            <w:vAlign w:val="center"/>
          </w:tcPr>
          <w:p w14:paraId="2D01D71E" w14:textId="77777777" w:rsidR="00C068BE" w:rsidRPr="00E30163" w:rsidRDefault="00C068BE" w:rsidP="00C068BE">
            <w:pPr>
              <w:rPr>
                <w:rFonts w:ascii="Arial" w:hAnsi="Arial" w:cs="Arial"/>
                <w:sz w:val="22"/>
                <w:szCs w:val="22"/>
              </w:rPr>
            </w:pPr>
            <w:r w:rsidRPr="00E30163">
              <w:rPr>
                <w:rFonts w:ascii="Arial" w:hAnsi="Arial" w:cs="Arial"/>
                <w:sz w:val="22"/>
                <w:szCs w:val="22"/>
              </w:rPr>
              <w:t>(List hazards present during the undertaking of this method)</w:t>
            </w:r>
          </w:p>
          <w:p w14:paraId="3AA6673A" w14:textId="77777777" w:rsidR="00C068BE" w:rsidRPr="00E30163" w:rsidRDefault="00C068BE" w:rsidP="00C068BE">
            <w:pPr>
              <w:numPr>
                <w:ilvl w:val="0"/>
                <w:numId w:val="12"/>
              </w:numPr>
              <w:rPr>
                <w:rFonts w:ascii="Arial" w:hAnsi="Arial"/>
                <w:b/>
                <w:sz w:val="22"/>
                <w:szCs w:val="22"/>
              </w:rPr>
            </w:pPr>
            <w:r w:rsidRPr="00E30163">
              <w:rPr>
                <w:rFonts w:ascii="Arial" w:hAnsi="Arial"/>
                <w:b/>
                <w:sz w:val="22"/>
                <w:szCs w:val="22"/>
              </w:rPr>
              <w:t>Handling, storage, transport and disposal of GMOs</w:t>
            </w:r>
          </w:p>
          <w:p w14:paraId="1CD2E0EF" w14:textId="77777777" w:rsidR="00C068BE" w:rsidRPr="00E30163" w:rsidRDefault="00C068BE" w:rsidP="00C068BE">
            <w:pPr>
              <w:numPr>
                <w:ilvl w:val="0"/>
                <w:numId w:val="12"/>
              </w:numPr>
              <w:rPr>
                <w:rFonts w:ascii="Arial" w:hAnsi="Arial"/>
                <w:b/>
                <w:sz w:val="22"/>
                <w:szCs w:val="22"/>
              </w:rPr>
            </w:pPr>
            <w:r w:rsidRPr="00E30163">
              <w:rPr>
                <w:rFonts w:ascii="Arial" w:hAnsi="Arial"/>
                <w:b/>
                <w:sz w:val="22"/>
                <w:szCs w:val="22"/>
              </w:rPr>
              <w:t>UV light</w:t>
            </w:r>
          </w:p>
          <w:p w14:paraId="610BE187" w14:textId="77777777" w:rsidR="00C068BE" w:rsidRPr="00E30163" w:rsidRDefault="00C068BE" w:rsidP="00C068BE">
            <w:pPr>
              <w:numPr>
                <w:ilvl w:val="0"/>
                <w:numId w:val="12"/>
              </w:numPr>
              <w:rPr>
                <w:rFonts w:ascii="Arial" w:hAnsi="Arial"/>
                <w:b/>
                <w:sz w:val="22"/>
                <w:szCs w:val="22"/>
              </w:rPr>
            </w:pPr>
            <w:r w:rsidRPr="00E30163">
              <w:rPr>
                <w:rFonts w:ascii="Arial" w:hAnsi="Arial"/>
                <w:b/>
                <w:sz w:val="22"/>
                <w:szCs w:val="22"/>
              </w:rPr>
              <w:t>Electrocution by electrical equipment</w:t>
            </w:r>
          </w:p>
          <w:p w14:paraId="1FD7D46F" w14:textId="77777777" w:rsidR="00C068BE" w:rsidRPr="00E30163" w:rsidRDefault="00C068BE" w:rsidP="00C068BE">
            <w:pPr>
              <w:numPr>
                <w:ilvl w:val="0"/>
                <w:numId w:val="12"/>
              </w:numPr>
              <w:rPr>
                <w:rFonts w:ascii="Arial" w:hAnsi="Arial"/>
                <w:b/>
                <w:sz w:val="22"/>
                <w:szCs w:val="22"/>
              </w:rPr>
            </w:pPr>
            <w:r w:rsidRPr="00E30163">
              <w:rPr>
                <w:rFonts w:ascii="Arial" w:hAnsi="Arial"/>
                <w:b/>
                <w:sz w:val="22"/>
                <w:szCs w:val="22"/>
              </w:rPr>
              <w:t>Hot/cold surfaces</w:t>
            </w:r>
          </w:p>
          <w:p w14:paraId="35FD5861" w14:textId="77777777" w:rsidR="00C068BE" w:rsidRPr="00E30163" w:rsidRDefault="00C068BE" w:rsidP="00C068BE">
            <w:pPr>
              <w:numPr>
                <w:ilvl w:val="0"/>
                <w:numId w:val="12"/>
              </w:numPr>
              <w:rPr>
                <w:rFonts w:ascii="Arial" w:hAnsi="Arial"/>
                <w:b/>
                <w:sz w:val="22"/>
                <w:szCs w:val="22"/>
              </w:rPr>
            </w:pPr>
            <w:r w:rsidRPr="00E30163">
              <w:rPr>
                <w:rFonts w:ascii="Arial" w:hAnsi="Arial"/>
                <w:b/>
                <w:sz w:val="22"/>
                <w:szCs w:val="22"/>
              </w:rPr>
              <w:t>Use of sharp instruments</w:t>
            </w:r>
          </w:p>
        </w:tc>
      </w:tr>
      <w:tr w:rsidR="00C068BE" w14:paraId="339530C1" w14:textId="77777777">
        <w:tblPrEx>
          <w:tblCellMar>
            <w:top w:w="0" w:type="dxa"/>
            <w:bottom w:w="0" w:type="dxa"/>
          </w:tblCellMar>
        </w:tblPrEx>
        <w:tc>
          <w:tcPr>
            <w:tcW w:w="10013" w:type="dxa"/>
            <w:gridSpan w:val="5"/>
            <w:shd w:val="clear" w:color="auto" w:fill="808080"/>
            <w:vAlign w:val="center"/>
          </w:tcPr>
          <w:p w14:paraId="16C58BE9" w14:textId="77777777" w:rsidR="00C068BE" w:rsidRPr="00E30163" w:rsidRDefault="00C068BE" w:rsidP="00C068BE">
            <w:pPr>
              <w:jc w:val="center"/>
              <w:rPr>
                <w:rFonts w:ascii="Arial" w:hAnsi="Arial"/>
                <w:b/>
                <w:color w:val="FFFFFF"/>
                <w:sz w:val="22"/>
                <w:szCs w:val="22"/>
              </w:rPr>
            </w:pPr>
            <w:r w:rsidRPr="00E30163">
              <w:rPr>
                <w:rFonts w:ascii="Arial" w:hAnsi="Arial"/>
                <w:b/>
                <w:color w:val="FFFFFF"/>
                <w:sz w:val="22"/>
                <w:szCs w:val="22"/>
              </w:rPr>
              <w:t>Before work Commences</w:t>
            </w:r>
          </w:p>
        </w:tc>
      </w:tr>
      <w:tr w:rsidR="00C068BE" w14:paraId="3E4D6D74" w14:textId="77777777">
        <w:tblPrEx>
          <w:tblCellMar>
            <w:top w:w="0" w:type="dxa"/>
            <w:bottom w:w="0" w:type="dxa"/>
          </w:tblCellMar>
        </w:tblPrEx>
        <w:tc>
          <w:tcPr>
            <w:tcW w:w="10013" w:type="dxa"/>
            <w:gridSpan w:val="5"/>
            <w:tcBorders>
              <w:bottom w:val="single" w:sz="4" w:space="0" w:color="auto"/>
            </w:tcBorders>
            <w:vAlign w:val="center"/>
          </w:tcPr>
          <w:p w14:paraId="7D7C1E0C" w14:textId="77777777" w:rsidR="00C068BE" w:rsidRPr="00E30163" w:rsidRDefault="00C068BE" w:rsidP="00C068BE">
            <w:pPr>
              <w:rPr>
                <w:rFonts w:ascii="Arial" w:hAnsi="Arial" w:cs="Arial"/>
                <w:sz w:val="22"/>
                <w:szCs w:val="22"/>
              </w:rPr>
            </w:pPr>
            <w:r w:rsidRPr="00E30163">
              <w:rPr>
                <w:rFonts w:ascii="Arial" w:hAnsi="Arial" w:cs="Arial"/>
                <w:sz w:val="22"/>
                <w:szCs w:val="22"/>
              </w:rPr>
              <w:t>(List anything required before work commences for the safe undertaking of this method) (delete any not applicable)</w:t>
            </w:r>
          </w:p>
          <w:p w14:paraId="1D99AC92" w14:textId="77777777" w:rsidR="00C068BE" w:rsidRPr="00E30163" w:rsidRDefault="00C068BE" w:rsidP="00C068BE">
            <w:pPr>
              <w:numPr>
                <w:ilvl w:val="0"/>
                <w:numId w:val="6"/>
              </w:numPr>
              <w:rPr>
                <w:rFonts w:ascii="Arial" w:hAnsi="Arial"/>
                <w:b/>
                <w:sz w:val="22"/>
                <w:szCs w:val="22"/>
                <w:u w:val="single"/>
              </w:rPr>
            </w:pPr>
            <w:r w:rsidRPr="00E30163">
              <w:rPr>
                <w:rFonts w:ascii="Arial" w:hAnsi="Arial"/>
                <w:b/>
                <w:sz w:val="22"/>
                <w:szCs w:val="22"/>
                <w:u w:val="single"/>
              </w:rPr>
              <w:t>Obtain training;</w:t>
            </w:r>
            <w:r w:rsidRPr="00E30163">
              <w:rPr>
                <w:rFonts w:ascii="Arial" w:hAnsi="Arial"/>
                <w:b/>
                <w:sz w:val="22"/>
                <w:szCs w:val="22"/>
              </w:rPr>
              <w:t xml:space="preserve"> in PC2 facility use, general handling, storage, transport and disposal of GMOs and particularly in handling, storage, transport and disposal of virus</w:t>
            </w:r>
          </w:p>
          <w:p w14:paraId="2B7E1A68" w14:textId="77777777" w:rsidR="00C068BE" w:rsidRPr="00E30163" w:rsidRDefault="00C068BE" w:rsidP="00C068BE">
            <w:pPr>
              <w:numPr>
                <w:ilvl w:val="0"/>
                <w:numId w:val="6"/>
              </w:numPr>
              <w:rPr>
                <w:rFonts w:ascii="Arial" w:hAnsi="Arial"/>
                <w:b/>
                <w:sz w:val="22"/>
                <w:szCs w:val="22"/>
                <w:u w:val="single"/>
              </w:rPr>
            </w:pPr>
            <w:r w:rsidRPr="00E30163">
              <w:rPr>
                <w:rFonts w:ascii="Arial" w:hAnsi="Arial"/>
                <w:b/>
                <w:sz w:val="22"/>
                <w:szCs w:val="22"/>
                <w:u w:val="single"/>
              </w:rPr>
              <w:t>Ensure that you are aware of the locations of the following:</w:t>
            </w:r>
          </w:p>
          <w:p w14:paraId="1FC7D88E" w14:textId="77777777" w:rsidR="00C068BE" w:rsidRPr="00E30163" w:rsidRDefault="00C068BE" w:rsidP="00C068BE">
            <w:pPr>
              <w:numPr>
                <w:ilvl w:val="1"/>
                <w:numId w:val="6"/>
              </w:numPr>
              <w:rPr>
                <w:rFonts w:ascii="Arial" w:hAnsi="Arial"/>
                <w:b/>
                <w:sz w:val="22"/>
                <w:szCs w:val="22"/>
              </w:rPr>
            </w:pPr>
            <w:r w:rsidRPr="00E30163">
              <w:rPr>
                <w:rFonts w:ascii="Arial" w:hAnsi="Arial"/>
                <w:b/>
                <w:sz w:val="22"/>
                <w:szCs w:val="22"/>
              </w:rPr>
              <w:t>Spill Kit</w:t>
            </w:r>
          </w:p>
          <w:p w14:paraId="50CB9215" w14:textId="77777777" w:rsidR="00C068BE" w:rsidRPr="00E30163" w:rsidRDefault="00C068BE" w:rsidP="00C068BE">
            <w:pPr>
              <w:numPr>
                <w:ilvl w:val="1"/>
                <w:numId w:val="6"/>
              </w:numPr>
              <w:rPr>
                <w:rFonts w:ascii="Arial" w:hAnsi="Arial"/>
                <w:b/>
                <w:sz w:val="22"/>
                <w:szCs w:val="22"/>
              </w:rPr>
            </w:pPr>
            <w:r w:rsidRPr="00E30163">
              <w:rPr>
                <w:rFonts w:ascii="Arial" w:hAnsi="Arial"/>
                <w:b/>
                <w:sz w:val="22"/>
                <w:szCs w:val="22"/>
              </w:rPr>
              <w:t xml:space="preserve">Decontamination solution (1% </w:t>
            </w:r>
            <w:proofErr w:type="spellStart"/>
            <w:r w:rsidRPr="00E30163">
              <w:rPr>
                <w:rFonts w:ascii="Arial" w:hAnsi="Arial"/>
                <w:b/>
                <w:sz w:val="22"/>
                <w:szCs w:val="22"/>
              </w:rPr>
              <w:t>Virkon</w:t>
            </w:r>
            <w:proofErr w:type="spellEnd"/>
            <w:r w:rsidRPr="00E30163">
              <w:rPr>
                <w:rFonts w:ascii="Arial" w:hAnsi="Arial"/>
                <w:b/>
                <w:sz w:val="22"/>
                <w:szCs w:val="22"/>
              </w:rPr>
              <w:t>)</w:t>
            </w:r>
          </w:p>
          <w:p w14:paraId="2CB008F2" w14:textId="77777777" w:rsidR="00C068BE" w:rsidRPr="00E30163" w:rsidRDefault="00C068BE" w:rsidP="00C068BE">
            <w:pPr>
              <w:numPr>
                <w:ilvl w:val="1"/>
                <w:numId w:val="6"/>
              </w:numPr>
              <w:rPr>
                <w:rFonts w:ascii="Arial" w:hAnsi="Arial"/>
                <w:b/>
                <w:sz w:val="22"/>
                <w:szCs w:val="22"/>
              </w:rPr>
            </w:pPr>
            <w:r w:rsidRPr="00E30163">
              <w:rPr>
                <w:rFonts w:ascii="Arial" w:hAnsi="Arial"/>
                <w:b/>
                <w:sz w:val="22"/>
                <w:szCs w:val="22"/>
              </w:rPr>
              <w:t>Eye Wash</w:t>
            </w:r>
          </w:p>
          <w:p w14:paraId="7853F32B" w14:textId="77777777" w:rsidR="00C068BE" w:rsidRPr="00E30163" w:rsidRDefault="00C068BE" w:rsidP="00C068BE">
            <w:pPr>
              <w:numPr>
                <w:ilvl w:val="1"/>
                <w:numId w:val="6"/>
              </w:numPr>
              <w:rPr>
                <w:rFonts w:ascii="Arial" w:hAnsi="Arial"/>
                <w:b/>
                <w:sz w:val="22"/>
                <w:szCs w:val="22"/>
              </w:rPr>
            </w:pPr>
            <w:r w:rsidRPr="00E30163">
              <w:rPr>
                <w:rFonts w:ascii="Arial" w:hAnsi="Arial"/>
                <w:b/>
                <w:sz w:val="22"/>
                <w:szCs w:val="22"/>
              </w:rPr>
              <w:t>Fire extinguisher/blanket</w:t>
            </w:r>
          </w:p>
          <w:p w14:paraId="47A4AEDC" w14:textId="77777777" w:rsidR="00C068BE" w:rsidRPr="00E30163" w:rsidRDefault="00C068BE" w:rsidP="00C068BE">
            <w:pPr>
              <w:numPr>
                <w:ilvl w:val="1"/>
                <w:numId w:val="6"/>
              </w:numPr>
              <w:rPr>
                <w:rFonts w:ascii="Arial" w:hAnsi="Arial"/>
                <w:b/>
                <w:sz w:val="22"/>
                <w:szCs w:val="22"/>
              </w:rPr>
            </w:pPr>
            <w:r w:rsidRPr="00E30163">
              <w:rPr>
                <w:rFonts w:ascii="Arial" w:hAnsi="Arial"/>
                <w:b/>
                <w:sz w:val="22"/>
                <w:szCs w:val="22"/>
              </w:rPr>
              <w:t>Exits</w:t>
            </w:r>
          </w:p>
          <w:p w14:paraId="13D4F9AD" w14:textId="77777777" w:rsidR="00C068BE" w:rsidRPr="00E30163" w:rsidRDefault="00C068BE" w:rsidP="00C068BE">
            <w:pPr>
              <w:numPr>
                <w:ilvl w:val="0"/>
                <w:numId w:val="6"/>
              </w:numPr>
              <w:rPr>
                <w:rFonts w:ascii="Arial" w:hAnsi="Arial"/>
                <w:b/>
                <w:sz w:val="22"/>
                <w:szCs w:val="22"/>
              </w:rPr>
            </w:pPr>
            <w:r w:rsidRPr="00E30163">
              <w:rPr>
                <w:rFonts w:ascii="Arial" w:hAnsi="Arial"/>
                <w:b/>
                <w:sz w:val="22"/>
                <w:szCs w:val="22"/>
                <w:u w:val="single"/>
              </w:rPr>
              <w:t>Risk Assessment and MSDS</w:t>
            </w:r>
            <w:r w:rsidRPr="00E30163">
              <w:rPr>
                <w:rFonts w:ascii="Arial" w:hAnsi="Arial"/>
                <w:b/>
                <w:sz w:val="22"/>
                <w:szCs w:val="22"/>
              </w:rPr>
              <w:t xml:space="preserve"> (Material Safety Data Sheet)- Ensure that you have read and understood for all the substances being used </w:t>
            </w:r>
          </w:p>
          <w:p w14:paraId="6C7B2DD3" w14:textId="77777777" w:rsidR="00C068BE" w:rsidRPr="00E30163" w:rsidRDefault="00C068BE" w:rsidP="00C068BE">
            <w:pPr>
              <w:numPr>
                <w:ilvl w:val="0"/>
                <w:numId w:val="6"/>
              </w:numPr>
              <w:rPr>
                <w:rFonts w:ascii="Arial" w:hAnsi="Arial"/>
                <w:b/>
                <w:sz w:val="22"/>
                <w:szCs w:val="22"/>
              </w:rPr>
            </w:pPr>
            <w:r w:rsidRPr="00E30163">
              <w:rPr>
                <w:rFonts w:ascii="Arial" w:hAnsi="Arial"/>
                <w:b/>
                <w:sz w:val="22"/>
                <w:szCs w:val="22"/>
                <w:u w:val="single"/>
              </w:rPr>
              <w:t>Equipment</w:t>
            </w:r>
          </w:p>
          <w:p w14:paraId="4C99D889" w14:textId="77777777" w:rsidR="00C068BE" w:rsidRPr="00E30163" w:rsidRDefault="00C068BE" w:rsidP="00C068BE">
            <w:pPr>
              <w:numPr>
                <w:ilvl w:val="1"/>
                <w:numId w:val="6"/>
              </w:numPr>
              <w:rPr>
                <w:rFonts w:ascii="Arial" w:hAnsi="Arial"/>
                <w:b/>
                <w:sz w:val="22"/>
                <w:szCs w:val="22"/>
              </w:rPr>
            </w:pPr>
            <w:r w:rsidRPr="00E30163">
              <w:rPr>
                <w:rFonts w:ascii="Arial" w:hAnsi="Arial"/>
                <w:b/>
                <w:sz w:val="22"/>
                <w:szCs w:val="22"/>
              </w:rPr>
              <w:t>Obtain training before using any equipment</w:t>
            </w:r>
          </w:p>
          <w:p w14:paraId="4514D45D" w14:textId="77777777" w:rsidR="00C068BE" w:rsidRPr="00E30163" w:rsidRDefault="00C068BE" w:rsidP="00C068BE">
            <w:pPr>
              <w:numPr>
                <w:ilvl w:val="1"/>
                <w:numId w:val="6"/>
              </w:numPr>
              <w:rPr>
                <w:rFonts w:ascii="Arial" w:hAnsi="Arial"/>
                <w:b/>
                <w:sz w:val="22"/>
                <w:szCs w:val="22"/>
              </w:rPr>
            </w:pPr>
            <w:r w:rsidRPr="00E30163">
              <w:rPr>
                <w:rFonts w:ascii="Arial" w:hAnsi="Arial"/>
                <w:b/>
                <w:sz w:val="22"/>
                <w:szCs w:val="22"/>
              </w:rPr>
              <w:t>Ensure that you have read and understood the Risk Assessment and Safe Operating Procedure</w:t>
            </w:r>
          </w:p>
          <w:p w14:paraId="4B23D065" w14:textId="77777777" w:rsidR="00C068BE" w:rsidRPr="00E30163" w:rsidRDefault="00C068BE" w:rsidP="00C068BE">
            <w:pPr>
              <w:numPr>
                <w:ilvl w:val="1"/>
                <w:numId w:val="6"/>
              </w:numPr>
              <w:rPr>
                <w:rFonts w:ascii="Arial" w:hAnsi="Arial"/>
                <w:b/>
                <w:sz w:val="22"/>
                <w:szCs w:val="22"/>
              </w:rPr>
            </w:pPr>
            <w:r w:rsidRPr="00E30163">
              <w:rPr>
                <w:rFonts w:ascii="Arial" w:hAnsi="Arial"/>
                <w:b/>
                <w:sz w:val="22"/>
                <w:szCs w:val="22"/>
              </w:rPr>
              <w:t>Check for safety and electrical compliance</w:t>
            </w:r>
          </w:p>
          <w:p w14:paraId="37FEA003" w14:textId="77777777" w:rsidR="00C068BE" w:rsidRPr="00E30163" w:rsidRDefault="00C068BE" w:rsidP="00C068BE">
            <w:pPr>
              <w:numPr>
                <w:ilvl w:val="0"/>
                <w:numId w:val="6"/>
              </w:numPr>
              <w:rPr>
                <w:rFonts w:ascii="Arial" w:hAnsi="Arial"/>
                <w:b/>
                <w:sz w:val="22"/>
                <w:szCs w:val="22"/>
              </w:rPr>
            </w:pPr>
            <w:r w:rsidRPr="00E30163">
              <w:rPr>
                <w:rFonts w:ascii="Arial" w:hAnsi="Arial" w:cs="Arial"/>
                <w:b/>
                <w:sz w:val="22"/>
                <w:szCs w:val="22"/>
                <w:u w:val="single"/>
              </w:rPr>
              <w:t>Hazardous waste</w:t>
            </w:r>
            <w:r w:rsidRPr="00E30163">
              <w:rPr>
                <w:rFonts w:ascii="Arial" w:hAnsi="Arial" w:cs="Arial"/>
                <w:b/>
                <w:sz w:val="22"/>
                <w:szCs w:val="22"/>
              </w:rPr>
              <w:t xml:space="preserve"> - Prepare appropriate labelled containers to put all hazardous waste solutions, tips and plastic ware into. Ensure that you have read and understood SOP and RA for disposal of biohazardous waste</w:t>
            </w:r>
          </w:p>
        </w:tc>
      </w:tr>
    </w:tbl>
    <w:p w14:paraId="3B6CD73A" w14:textId="77777777" w:rsidR="005B3131" w:rsidRDefault="005B3131" w:rsidP="005B3131">
      <w:pPr>
        <w:ind w:left="360"/>
        <w:rPr>
          <w:rFonts w:ascii="Verdana" w:hAnsi="Verdana"/>
          <w:u w:val="single"/>
        </w:rPr>
      </w:pPr>
    </w:p>
    <w:p w14:paraId="5989AEF9" w14:textId="77777777" w:rsidR="005B3131" w:rsidRDefault="005B3131" w:rsidP="005B3131">
      <w:pPr>
        <w:ind w:left="360"/>
        <w:rPr>
          <w:rFonts w:ascii="Verdana" w:hAnsi="Verdana"/>
          <w:u w:val="single"/>
        </w:rPr>
      </w:pPr>
    </w:p>
    <w:p w14:paraId="120A7DAC" w14:textId="77777777" w:rsidR="00C068BE" w:rsidRPr="005B3131" w:rsidRDefault="005B3131" w:rsidP="005B3131">
      <w:pPr>
        <w:numPr>
          <w:ilvl w:val="0"/>
          <w:numId w:val="8"/>
        </w:numPr>
        <w:rPr>
          <w:rFonts w:ascii="Verdana" w:hAnsi="Verdana"/>
          <w:u w:val="single"/>
        </w:rPr>
      </w:pPr>
      <w:r w:rsidRPr="005B3131">
        <w:rPr>
          <w:rFonts w:ascii="Verdana" w:hAnsi="Verdana"/>
          <w:u w:val="single"/>
        </w:rPr>
        <w:lastRenderedPageBreak/>
        <w:t>Source of some equipment</w:t>
      </w:r>
    </w:p>
    <w:p w14:paraId="3783E296" w14:textId="77777777" w:rsidR="00C068BE" w:rsidRDefault="00C068BE" w:rsidP="00C068BE">
      <w:pPr>
        <w:numPr>
          <w:ilvl w:val="1"/>
          <w:numId w:val="8"/>
        </w:numPr>
        <w:spacing w:before="120" w:after="120"/>
        <w:rPr>
          <w:rFonts w:ascii="Verdana" w:hAnsi="Verdana" w:cs="Arial"/>
          <w:sz w:val="20"/>
          <w:szCs w:val="20"/>
        </w:rPr>
      </w:pPr>
      <w:proofErr w:type="spellStart"/>
      <w:r>
        <w:rPr>
          <w:rFonts w:ascii="Verdana" w:hAnsi="Verdana" w:cs="Arial"/>
          <w:sz w:val="20"/>
          <w:szCs w:val="20"/>
        </w:rPr>
        <w:t>Virkon</w:t>
      </w:r>
      <w:proofErr w:type="spellEnd"/>
      <w:r>
        <w:rPr>
          <w:rFonts w:ascii="Verdana" w:hAnsi="Verdana" w:cs="Arial"/>
          <w:sz w:val="20"/>
          <w:szCs w:val="20"/>
        </w:rPr>
        <w:t xml:space="preserve"> available from United Biosciences (07) 3219 </w:t>
      </w:r>
      <w:proofErr w:type="gramStart"/>
      <w:r>
        <w:rPr>
          <w:rFonts w:ascii="Verdana" w:hAnsi="Verdana" w:cs="Arial"/>
          <w:sz w:val="20"/>
          <w:szCs w:val="20"/>
        </w:rPr>
        <w:t>2964,  Cat</w:t>
      </w:r>
      <w:proofErr w:type="gramEnd"/>
      <w:r>
        <w:rPr>
          <w:rFonts w:ascii="Verdana" w:hAnsi="Verdana" w:cs="Arial"/>
          <w:sz w:val="20"/>
          <w:szCs w:val="20"/>
        </w:rPr>
        <w:t># UB988-30</w:t>
      </w:r>
    </w:p>
    <w:p w14:paraId="599869AF" w14:textId="77777777" w:rsidR="00C068BE" w:rsidRPr="00E61838" w:rsidRDefault="00C068BE" w:rsidP="00C068BE">
      <w:pPr>
        <w:numPr>
          <w:ilvl w:val="1"/>
          <w:numId w:val="8"/>
        </w:numPr>
        <w:spacing w:before="120" w:after="120"/>
        <w:rPr>
          <w:rFonts w:ascii="Verdana" w:hAnsi="Verdana" w:cs="Arial"/>
          <w:sz w:val="20"/>
          <w:szCs w:val="20"/>
        </w:rPr>
      </w:pPr>
      <w:r>
        <w:rPr>
          <w:rFonts w:ascii="Verdana" w:hAnsi="Verdana" w:cs="Arial"/>
          <w:sz w:val="20"/>
          <w:szCs w:val="20"/>
        </w:rPr>
        <w:t xml:space="preserve">Autoclavable Biohazard waste bags from </w:t>
      </w:r>
      <w:proofErr w:type="spellStart"/>
      <w:r>
        <w:rPr>
          <w:rFonts w:ascii="Verdana" w:hAnsi="Verdana" w:cs="Arial"/>
          <w:sz w:val="20"/>
          <w:szCs w:val="20"/>
        </w:rPr>
        <w:t>Adelab</w:t>
      </w:r>
      <w:proofErr w:type="spellEnd"/>
      <w:r>
        <w:rPr>
          <w:rFonts w:ascii="Verdana" w:hAnsi="Verdana" w:cs="Arial"/>
          <w:sz w:val="20"/>
          <w:szCs w:val="20"/>
        </w:rPr>
        <w:t xml:space="preserve"> 82347955</w:t>
      </w:r>
    </w:p>
    <w:p w14:paraId="471B4C92" w14:textId="77777777" w:rsidR="00C068BE" w:rsidRPr="00E61838" w:rsidRDefault="00C068BE" w:rsidP="00C068BE">
      <w:pPr>
        <w:numPr>
          <w:ilvl w:val="0"/>
          <w:numId w:val="8"/>
        </w:numPr>
        <w:tabs>
          <w:tab w:val="clear" w:pos="720"/>
          <w:tab w:val="num" w:pos="0"/>
        </w:tabs>
        <w:spacing w:before="120" w:after="120"/>
        <w:ind w:left="426"/>
        <w:rPr>
          <w:rFonts w:ascii="Verdana" w:hAnsi="Verdana" w:cs="Arial"/>
          <w:u w:val="single"/>
        </w:rPr>
      </w:pPr>
      <w:r w:rsidRPr="00E61838">
        <w:rPr>
          <w:rFonts w:ascii="Verdana" w:hAnsi="Verdana" w:cs="Arial"/>
          <w:u w:val="single"/>
        </w:rPr>
        <w:t>Equipment/materials</w:t>
      </w:r>
    </w:p>
    <w:p w14:paraId="7D554963" w14:textId="77777777" w:rsidR="00C068BE" w:rsidRDefault="00C068BE" w:rsidP="00C068BE">
      <w:pPr>
        <w:spacing w:before="120" w:after="120"/>
        <w:ind w:left="66"/>
        <w:rPr>
          <w:rFonts w:ascii="Verdana" w:hAnsi="Verdana" w:cs="Arial"/>
          <w:sz w:val="20"/>
          <w:szCs w:val="20"/>
        </w:rPr>
      </w:pPr>
      <w:r w:rsidRPr="00E61838">
        <w:rPr>
          <w:rFonts w:ascii="Verdana" w:hAnsi="Verdana" w:cs="Arial"/>
          <w:sz w:val="20"/>
          <w:szCs w:val="20"/>
        </w:rPr>
        <w:t>Virus work must be</w:t>
      </w:r>
      <w:r w:rsidR="00985DF6">
        <w:rPr>
          <w:rFonts w:ascii="Verdana" w:hAnsi="Verdana" w:cs="Arial"/>
          <w:sz w:val="20"/>
          <w:szCs w:val="20"/>
        </w:rPr>
        <w:t xml:space="preserve"> carried out in a PC2 facility such as </w:t>
      </w:r>
      <w:r w:rsidRPr="00E61838">
        <w:rPr>
          <w:rFonts w:ascii="Verdana" w:hAnsi="Verdana" w:cs="Arial"/>
          <w:sz w:val="20"/>
          <w:szCs w:val="20"/>
        </w:rPr>
        <w:t xml:space="preserve">room 6D316.2. Incubation of cells producing virus should be restricted to 6D316.2 and aseptic work must only be done in the biohazard cabinet in room 6D316.2. Centrifugation of lentivirus samples must be </w:t>
      </w:r>
      <w:r>
        <w:rPr>
          <w:rFonts w:ascii="Verdana" w:hAnsi="Verdana" w:cs="Arial"/>
          <w:sz w:val="20"/>
          <w:szCs w:val="20"/>
        </w:rPr>
        <w:t>in sealed containers</w:t>
      </w:r>
      <w:r w:rsidRPr="00E61838">
        <w:rPr>
          <w:rFonts w:ascii="Verdana" w:hAnsi="Verdana" w:cs="Arial"/>
          <w:sz w:val="20"/>
          <w:szCs w:val="20"/>
        </w:rPr>
        <w:t xml:space="preserve"> and rotor bucket lids must be used</w:t>
      </w:r>
      <w:r>
        <w:rPr>
          <w:rFonts w:ascii="Verdana" w:hAnsi="Verdana" w:cs="Arial"/>
          <w:sz w:val="20"/>
          <w:szCs w:val="20"/>
        </w:rPr>
        <w:t xml:space="preserve"> in the Allegra X-12R bench-top centrifuge (Beckman-Coulter) in room 6D316.2.</w:t>
      </w:r>
    </w:p>
    <w:p w14:paraId="4BED5EB0" w14:textId="77777777" w:rsidR="00C068BE" w:rsidRDefault="00C068BE" w:rsidP="00C068BE">
      <w:pPr>
        <w:spacing w:before="120" w:after="120"/>
        <w:ind w:left="66"/>
        <w:rPr>
          <w:rFonts w:ascii="Verdana" w:hAnsi="Verdana" w:cs="Arial"/>
          <w:color w:val="000000"/>
          <w:sz w:val="20"/>
          <w:szCs w:val="20"/>
        </w:rPr>
      </w:pPr>
      <w:r>
        <w:rPr>
          <w:rFonts w:ascii="Verdana" w:hAnsi="Verdana" w:cs="Arial"/>
          <w:color w:val="000000"/>
          <w:sz w:val="20"/>
          <w:szCs w:val="20"/>
        </w:rPr>
        <w:t>Purified lentivirus i</w:t>
      </w:r>
      <w:r w:rsidR="00EE3250">
        <w:rPr>
          <w:rFonts w:ascii="Verdana" w:hAnsi="Verdana" w:cs="Arial"/>
          <w:color w:val="000000"/>
          <w:sz w:val="20"/>
          <w:szCs w:val="20"/>
        </w:rPr>
        <w:t>s</w:t>
      </w:r>
      <w:r>
        <w:rPr>
          <w:rFonts w:ascii="Verdana" w:hAnsi="Verdana" w:cs="Arial"/>
          <w:color w:val="000000"/>
          <w:sz w:val="20"/>
          <w:szCs w:val="20"/>
        </w:rPr>
        <w:t xml:space="preserve"> centrifuged in c</w:t>
      </w:r>
      <w:r w:rsidRPr="009916AD">
        <w:rPr>
          <w:rFonts w:ascii="Verdana" w:hAnsi="Verdana" w:cs="Arial"/>
          <w:color w:val="000000"/>
          <w:sz w:val="20"/>
          <w:szCs w:val="20"/>
        </w:rPr>
        <w:t>ommon service Beckman Ultracentrifuge</w:t>
      </w:r>
      <w:r>
        <w:rPr>
          <w:rFonts w:ascii="Verdana" w:hAnsi="Verdana" w:cs="Arial"/>
          <w:color w:val="000000"/>
          <w:sz w:val="20"/>
          <w:szCs w:val="20"/>
        </w:rPr>
        <w:t xml:space="preserve"> in room</w:t>
      </w:r>
      <w:r w:rsidRPr="009916AD">
        <w:rPr>
          <w:rFonts w:ascii="Verdana" w:hAnsi="Verdana" w:cs="Arial"/>
          <w:color w:val="000000"/>
          <w:sz w:val="20"/>
          <w:szCs w:val="20"/>
        </w:rPr>
        <w:t xml:space="preserve"> 6</w:t>
      </w:r>
      <w:r>
        <w:rPr>
          <w:rFonts w:ascii="Verdana" w:hAnsi="Verdana" w:cs="Arial"/>
          <w:color w:val="000000"/>
          <w:sz w:val="20"/>
          <w:szCs w:val="20"/>
        </w:rPr>
        <w:t>D307, 6E132 or 6E403</w:t>
      </w:r>
      <w:r w:rsidRPr="009916AD">
        <w:rPr>
          <w:rFonts w:ascii="Verdana" w:hAnsi="Verdana" w:cs="Arial"/>
          <w:color w:val="000000"/>
          <w:sz w:val="20"/>
          <w:szCs w:val="20"/>
        </w:rPr>
        <w:t xml:space="preserve">, Beckman SW32 </w:t>
      </w:r>
      <w:proofErr w:type="spellStart"/>
      <w:r w:rsidRPr="009916AD">
        <w:rPr>
          <w:rFonts w:ascii="Verdana" w:hAnsi="Verdana" w:cs="Arial"/>
          <w:color w:val="000000"/>
          <w:sz w:val="20"/>
          <w:szCs w:val="20"/>
        </w:rPr>
        <w:t>Ti</w:t>
      </w:r>
      <w:proofErr w:type="spellEnd"/>
      <w:r w:rsidRPr="009916AD">
        <w:rPr>
          <w:rFonts w:ascii="Verdana" w:hAnsi="Verdana" w:cs="Arial"/>
          <w:color w:val="000000"/>
          <w:sz w:val="20"/>
          <w:szCs w:val="20"/>
        </w:rPr>
        <w:t xml:space="preserve"> rotor, tube supports (358156, Beckman) &amp; floating spacers (355536, Beckman), Beckman tube sealer apparatus</w:t>
      </w:r>
      <w:r w:rsidRPr="00E30163">
        <w:rPr>
          <w:rFonts w:ascii="Verdana" w:hAnsi="Verdana" w:cs="Arial"/>
          <w:sz w:val="20"/>
          <w:szCs w:val="20"/>
        </w:rPr>
        <w:t>.</w:t>
      </w:r>
    </w:p>
    <w:p w14:paraId="6C566C5D" w14:textId="77777777" w:rsidR="00C068BE" w:rsidRPr="00E61838" w:rsidRDefault="00C068BE" w:rsidP="00C068BE">
      <w:pPr>
        <w:spacing w:before="120" w:after="120"/>
        <w:ind w:left="66"/>
        <w:rPr>
          <w:rFonts w:ascii="Verdana" w:hAnsi="Verdana" w:cs="Arial"/>
          <w:u w:val="single"/>
        </w:rPr>
      </w:pPr>
      <w:r w:rsidRPr="00E61838">
        <w:rPr>
          <w:rFonts w:ascii="Verdana" w:hAnsi="Verdana" w:cs="Arial"/>
          <w:sz w:val="20"/>
          <w:szCs w:val="20"/>
        </w:rPr>
        <w:t>Keep all work surfaces and areas un-cluttered and free of absorbent materials to make clean-up easier in the event of a spill</w:t>
      </w:r>
    </w:p>
    <w:p w14:paraId="4A88113D" w14:textId="77777777" w:rsidR="00C068BE" w:rsidRPr="00E61838" w:rsidRDefault="00C068BE" w:rsidP="00C068BE">
      <w:pPr>
        <w:numPr>
          <w:ilvl w:val="0"/>
          <w:numId w:val="8"/>
        </w:numPr>
        <w:tabs>
          <w:tab w:val="clear" w:pos="720"/>
          <w:tab w:val="num" w:pos="0"/>
        </w:tabs>
        <w:spacing w:before="120" w:after="120"/>
        <w:ind w:left="426"/>
        <w:rPr>
          <w:rFonts w:ascii="Verdana" w:hAnsi="Verdana" w:cs="Arial"/>
          <w:u w:val="single"/>
        </w:rPr>
      </w:pPr>
      <w:r w:rsidRPr="00E61838">
        <w:rPr>
          <w:rFonts w:ascii="Verdana" w:hAnsi="Verdana" w:cs="Arial"/>
          <w:u w:val="single"/>
        </w:rPr>
        <w:t xml:space="preserve">Method </w:t>
      </w:r>
    </w:p>
    <w:p w14:paraId="610A28E6" w14:textId="77777777" w:rsidR="00C068BE" w:rsidRDefault="00C068BE" w:rsidP="00C068BE">
      <w:pPr>
        <w:rPr>
          <w:rFonts w:ascii="Verdana" w:hAnsi="Verdana"/>
          <w:sz w:val="20"/>
          <w:szCs w:val="20"/>
        </w:rPr>
      </w:pPr>
    </w:p>
    <w:p w14:paraId="5DCFF44B" w14:textId="77777777" w:rsidR="00C068BE" w:rsidRPr="00CE4681" w:rsidRDefault="00C068BE" w:rsidP="00C068BE">
      <w:pPr>
        <w:rPr>
          <w:rFonts w:ascii="Verdana" w:hAnsi="Verdana"/>
          <w:b/>
          <w:sz w:val="20"/>
          <w:szCs w:val="20"/>
        </w:rPr>
      </w:pPr>
      <w:r w:rsidRPr="00CE4681">
        <w:rPr>
          <w:rFonts w:ascii="Verdana" w:hAnsi="Verdana"/>
          <w:b/>
          <w:sz w:val="20"/>
          <w:szCs w:val="20"/>
        </w:rPr>
        <w:t xml:space="preserve">Training: </w:t>
      </w:r>
    </w:p>
    <w:p w14:paraId="0DDBBAF0" w14:textId="77777777" w:rsidR="00C068BE" w:rsidRDefault="00C068BE" w:rsidP="00C068BE">
      <w:pPr>
        <w:rPr>
          <w:rFonts w:ascii="Verdana" w:hAnsi="Verdana"/>
          <w:sz w:val="20"/>
          <w:szCs w:val="20"/>
        </w:rPr>
      </w:pPr>
    </w:p>
    <w:p w14:paraId="419F4CEC" w14:textId="77777777" w:rsidR="00C068BE" w:rsidRPr="00955F2E" w:rsidRDefault="00C068BE" w:rsidP="00C068BE">
      <w:pPr>
        <w:rPr>
          <w:rFonts w:ascii="Verdana" w:hAnsi="Verdana"/>
          <w:sz w:val="20"/>
          <w:szCs w:val="20"/>
        </w:rPr>
      </w:pPr>
      <w:r w:rsidRPr="00955F2E">
        <w:rPr>
          <w:rFonts w:ascii="Verdana" w:hAnsi="Verdana"/>
          <w:sz w:val="20"/>
          <w:szCs w:val="20"/>
        </w:rPr>
        <w:t xml:space="preserve">Users of adenovirus and lentivirus </w:t>
      </w:r>
      <w:r>
        <w:rPr>
          <w:rFonts w:ascii="Verdana" w:hAnsi="Verdana"/>
          <w:sz w:val="20"/>
          <w:szCs w:val="20"/>
        </w:rPr>
        <w:t>MUST</w:t>
      </w:r>
      <w:r w:rsidRPr="00955F2E">
        <w:rPr>
          <w:rFonts w:ascii="Verdana" w:hAnsi="Verdana"/>
          <w:sz w:val="20"/>
          <w:szCs w:val="20"/>
        </w:rPr>
        <w:t xml:space="preserve"> be trained</w:t>
      </w:r>
      <w:r>
        <w:rPr>
          <w:rFonts w:ascii="Verdana" w:hAnsi="Verdana"/>
          <w:sz w:val="20"/>
          <w:szCs w:val="20"/>
        </w:rPr>
        <w:t xml:space="preserve"> in general laboratory safety, Biosafety and also in specific us</w:t>
      </w:r>
      <w:r w:rsidR="005B3131">
        <w:rPr>
          <w:rFonts w:ascii="Verdana" w:hAnsi="Verdana"/>
          <w:sz w:val="20"/>
          <w:szCs w:val="20"/>
        </w:rPr>
        <w:t>e of the recombinant lentivirus</w:t>
      </w:r>
      <w:r>
        <w:rPr>
          <w:rFonts w:ascii="Verdana" w:hAnsi="Verdana"/>
          <w:sz w:val="20"/>
          <w:szCs w:val="20"/>
        </w:rPr>
        <w:t>. All procedures are in place to avoid the risk of un-intentional release to the environment and for the safety of the operator and others in the work place.</w:t>
      </w:r>
    </w:p>
    <w:p w14:paraId="1756DB5E" w14:textId="77777777" w:rsidR="00C068BE" w:rsidRPr="00955F2E" w:rsidRDefault="00C068BE" w:rsidP="00C068BE">
      <w:pPr>
        <w:rPr>
          <w:rFonts w:ascii="Verdana" w:hAnsi="Verdana"/>
          <w:sz w:val="20"/>
          <w:szCs w:val="20"/>
        </w:rPr>
      </w:pPr>
    </w:p>
    <w:p w14:paraId="7A2A729F" w14:textId="77777777" w:rsidR="00C068BE" w:rsidRPr="00955F2E" w:rsidRDefault="00C068BE" w:rsidP="00C068BE">
      <w:pPr>
        <w:rPr>
          <w:rFonts w:ascii="Verdana" w:hAnsi="Verdana"/>
          <w:b/>
          <w:sz w:val="20"/>
          <w:szCs w:val="20"/>
        </w:rPr>
      </w:pPr>
      <w:r w:rsidRPr="00955F2E">
        <w:rPr>
          <w:rFonts w:ascii="Verdana" w:hAnsi="Verdana"/>
          <w:b/>
          <w:sz w:val="20"/>
          <w:szCs w:val="20"/>
        </w:rPr>
        <w:t>Usage:</w:t>
      </w:r>
    </w:p>
    <w:p w14:paraId="497C36EC" w14:textId="77777777" w:rsidR="00C068BE" w:rsidRPr="00955F2E" w:rsidRDefault="00C068BE" w:rsidP="00C068BE">
      <w:pPr>
        <w:rPr>
          <w:rFonts w:ascii="Verdana" w:hAnsi="Verdana"/>
          <w:sz w:val="20"/>
          <w:szCs w:val="20"/>
        </w:rPr>
      </w:pPr>
    </w:p>
    <w:p w14:paraId="3D53CAA2" w14:textId="77777777" w:rsidR="00C068BE" w:rsidRDefault="00C068BE" w:rsidP="00C068BE">
      <w:pPr>
        <w:rPr>
          <w:rFonts w:ascii="Verdana" w:hAnsi="Verdana"/>
          <w:sz w:val="20"/>
          <w:szCs w:val="20"/>
        </w:rPr>
      </w:pPr>
      <w:r w:rsidRPr="00955F2E">
        <w:rPr>
          <w:rFonts w:ascii="Verdana" w:hAnsi="Verdana"/>
          <w:sz w:val="20"/>
          <w:szCs w:val="20"/>
        </w:rPr>
        <w:t>Level 6</w:t>
      </w:r>
      <w:r>
        <w:rPr>
          <w:rFonts w:ascii="Verdana" w:hAnsi="Verdana"/>
          <w:sz w:val="20"/>
          <w:szCs w:val="20"/>
        </w:rPr>
        <w:t>, Room 6D316.2</w:t>
      </w:r>
      <w:r w:rsidRPr="00955F2E">
        <w:rPr>
          <w:rFonts w:ascii="Verdana" w:hAnsi="Verdana"/>
          <w:sz w:val="20"/>
          <w:szCs w:val="20"/>
        </w:rPr>
        <w:t xml:space="preserve"> PC2 room has a Biohazard cabinet and a CO2 incubator for sterile culture of cells or tissues treated with virus</w:t>
      </w:r>
      <w:r>
        <w:rPr>
          <w:rFonts w:ascii="Verdana" w:hAnsi="Verdana"/>
          <w:sz w:val="20"/>
          <w:szCs w:val="20"/>
        </w:rPr>
        <w:t>. Both doors to 316.1 and 316.2 must be closed when undertaking work in this room. The room is to be kept</w:t>
      </w:r>
      <w:r w:rsidR="00E30163">
        <w:rPr>
          <w:rFonts w:ascii="Verdana" w:hAnsi="Verdana"/>
          <w:sz w:val="20"/>
          <w:szCs w:val="20"/>
        </w:rPr>
        <w:t xml:space="preserve"> locked</w:t>
      </w:r>
      <w:r>
        <w:rPr>
          <w:rFonts w:ascii="Verdana" w:hAnsi="Verdana"/>
          <w:sz w:val="20"/>
          <w:szCs w:val="20"/>
        </w:rPr>
        <w:t>.</w:t>
      </w:r>
      <w:r w:rsidR="00E30163">
        <w:rPr>
          <w:rFonts w:ascii="Verdana" w:hAnsi="Verdana"/>
          <w:sz w:val="20"/>
          <w:szCs w:val="20"/>
        </w:rPr>
        <w:t xml:space="preserve"> Please see Angela </w:t>
      </w:r>
      <w:proofErr w:type="spellStart"/>
      <w:r w:rsidR="00E30163">
        <w:rPr>
          <w:rFonts w:ascii="Verdana" w:hAnsi="Verdana"/>
          <w:sz w:val="20"/>
          <w:szCs w:val="20"/>
        </w:rPr>
        <w:t>Binns</w:t>
      </w:r>
      <w:proofErr w:type="spellEnd"/>
      <w:r w:rsidR="00985DF6">
        <w:rPr>
          <w:rFonts w:ascii="Verdana" w:hAnsi="Verdana"/>
          <w:sz w:val="20"/>
          <w:szCs w:val="20"/>
        </w:rPr>
        <w:t xml:space="preserve"> or Jess Hall</w:t>
      </w:r>
      <w:r w:rsidR="00E30163">
        <w:rPr>
          <w:rFonts w:ascii="Verdana" w:hAnsi="Verdana"/>
          <w:sz w:val="20"/>
          <w:szCs w:val="20"/>
        </w:rPr>
        <w:t xml:space="preserve"> for your own access code and location of the key to the outer room. </w:t>
      </w:r>
    </w:p>
    <w:p w14:paraId="52918CF4" w14:textId="77777777" w:rsidR="00985DF6" w:rsidRPr="00955F2E" w:rsidRDefault="00985DF6" w:rsidP="00C068BE">
      <w:pPr>
        <w:rPr>
          <w:rFonts w:ascii="Verdana" w:hAnsi="Verdana"/>
          <w:sz w:val="20"/>
          <w:szCs w:val="20"/>
        </w:rPr>
      </w:pPr>
    </w:p>
    <w:p w14:paraId="34D96042" w14:textId="77777777" w:rsidR="00C068BE" w:rsidRDefault="00C068BE" w:rsidP="00C068BE">
      <w:pPr>
        <w:rPr>
          <w:rFonts w:ascii="Verdana" w:hAnsi="Verdana"/>
          <w:sz w:val="20"/>
          <w:szCs w:val="20"/>
        </w:rPr>
      </w:pPr>
      <w:r w:rsidRPr="00955F2E">
        <w:rPr>
          <w:rFonts w:ascii="Verdana" w:hAnsi="Verdana"/>
          <w:sz w:val="20"/>
          <w:szCs w:val="20"/>
        </w:rPr>
        <w:t xml:space="preserve">In </w:t>
      </w:r>
      <w:r>
        <w:rPr>
          <w:rFonts w:ascii="Verdana" w:hAnsi="Verdana"/>
          <w:sz w:val="20"/>
          <w:szCs w:val="20"/>
        </w:rPr>
        <w:t>all facilities</w:t>
      </w:r>
      <w:r w:rsidRPr="00955F2E">
        <w:rPr>
          <w:rFonts w:ascii="Verdana" w:hAnsi="Verdana"/>
          <w:sz w:val="20"/>
          <w:szCs w:val="20"/>
        </w:rPr>
        <w:t xml:space="preserve">, </w:t>
      </w:r>
      <w:r>
        <w:rPr>
          <w:rFonts w:ascii="Verdana" w:hAnsi="Verdana"/>
          <w:sz w:val="20"/>
          <w:szCs w:val="20"/>
        </w:rPr>
        <w:t xml:space="preserve">cuffed </w:t>
      </w:r>
      <w:r w:rsidRPr="00955F2E">
        <w:rPr>
          <w:rFonts w:ascii="Verdana" w:hAnsi="Verdana"/>
          <w:sz w:val="20"/>
          <w:szCs w:val="20"/>
        </w:rPr>
        <w:t xml:space="preserve">long sleeve </w:t>
      </w:r>
      <w:r>
        <w:rPr>
          <w:rFonts w:ascii="Verdana" w:hAnsi="Verdana"/>
          <w:sz w:val="20"/>
          <w:szCs w:val="20"/>
        </w:rPr>
        <w:t xml:space="preserve">rear-fastening </w:t>
      </w:r>
      <w:r w:rsidRPr="00955F2E">
        <w:rPr>
          <w:rFonts w:ascii="Verdana" w:hAnsi="Verdana"/>
          <w:sz w:val="20"/>
          <w:szCs w:val="20"/>
        </w:rPr>
        <w:t>gowns and gloves should be worn, a</w:t>
      </w:r>
      <w:r>
        <w:rPr>
          <w:rFonts w:ascii="Verdana" w:hAnsi="Verdana"/>
          <w:sz w:val="20"/>
          <w:szCs w:val="20"/>
        </w:rPr>
        <w:t>long with the generic</w:t>
      </w:r>
      <w:r w:rsidRPr="00955F2E">
        <w:rPr>
          <w:rFonts w:ascii="Verdana" w:hAnsi="Verdana"/>
          <w:sz w:val="20"/>
          <w:szCs w:val="20"/>
        </w:rPr>
        <w:t xml:space="preserve"> </w:t>
      </w:r>
      <w:r>
        <w:rPr>
          <w:rFonts w:ascii="Verdana" w:hAnsi="Verdana"/>
          <w:sz w:val="20"/>
          <w:szCs w:val="20"/>
        </w:rPr>
        <w:t xml:space="preserve">Biosafety and </w:t>
      </w:r>
      <w:r w:rsidRPr="00955F2E">
        <w:rPr>
          <w:rFonts w:ascii="Verdana" w:hAnsi="Verdana"/>
          <w:sz w:val="20"/>
          <w:szCs w:val="20"/>
        </w:rPr>
        <w:t>PC2 requirements</w:t>
      </w:r>
      <w:r>
        <w:rPr>
          <w:rFonts w:ascii="Verdana" w:hAnsi="Verdana"/>
          <w:sz w:val="20"/>
          <w:szCs w:val="20"/>
        </w:rPr>
        <w:t>.</w:t>
      </w:r>
    </w:p>
    <w:p w14:paraId="124E81DF" w14:textId="77777777" w:rsidR="00C068BE" w:rsidRDefault="00C068BE" w:rsidP="00C068BE">
      <w:pPr>
        <w:rPr>
          <w:rFonts w:ascii="Verdana" w:hAnsi="Verdana"/>
          <w:sz w:val="20"/>
          <w:szCs w:val="20"/>
        </w:rPr>
      </w:pPr>
    </w:p>
    <w:p w14:paraId="68D8FCD6" w14:textId="77777777" w:rsidR="00C068BE" w:rsidRDefault="00C068BE" w:rsidP="00C068BE">
      <w:pPr>
        <w:rPr>
          <w:rFonts w:ascii="Verdana" w:hAnsi="Verdana"/>
          <w:sz w:val="20"/>
          <w:szCs w:val="20"/>
        </w:rPr>
      </w:pPr>
      <w:r>
        <w:rPr>
          <w:rFonts w:ascii="Verdana" w:hAnsi="Verdana"/>
          <w:sz w:val="20"/>
          <w:szCs w:val="20"/>
        </w:rPr>
        <w:t>Procedures involving aerosols must be done within the biosafety cabinet (e.g. opening centrifuge buckets or rotor)</w:t>
      </w:r>
    </w:p>
    <w:p w14:paraId="676879C1" w14:textId="77777777" w:rsidR="00C068BE" w:rsidRDefault="00C068BE" w:rsidP="00C068BE">
      <w:pPr>
        <w:rPr>
          <w:rFonts w:ascii="Verdana" w:hAnsi="Verdana"/>
          <w:sz w:val="20"/>
          <w:szCs w:val="20"/>
        </w:rPr>
      </w:pPr>
    </w:p>
    <w:p w14:paraId="2E13BD0D" w14:textId="77777777" w:rsidR="00C068BE" w:rsidRPr="00955F2E" w:rsidRDefault="00C068BE" w:rsidP="00C068BE">
      <w:pPr>
        <w:rPr>
          <w:rFonts w:ascii="Verdana" w:hAnsi="Verdana"/>
          <w:b/>
          <w:sz w:val="20"/>
          <w:szCs w:val="20"/>
        </w:rPr>
      </w:pPr>
      <w:r w:rsidRPr="00955F2E">
        <w:rPr>
          <w:rFonts w:ascii="Verdana" w:hAnsi="Verdana"/>
          <w:b/>
          <w:sz w:val="20"/>
          <w:szCs w:val="20"/>
        </w:rPr>
        <w:t>Cleaning and Waste disposal:</w:t>
      </w:r>
    </w:p>
    <w:p w14:paraId="464870B1" w14:textId="77777777" w:rsidR="00C068BE" w:rsidRDefault="00C068BE" w:rsidP="00C068BE">
      <w:pPr>
        <w:rPr>
          <w:rFonts w:ascii="Verdana" w:hAnsi="Verdana"/>
          <w:sz w:val="20"/>
          <w:szCs w:val="20"/>
        </w:rPr>
      </w:pPr>
    </w:p>
    <w:p w14:paraId="64180F63" w14:textId="77777777" w:rsidR="00C068BE" w:rsidRDefault="00C068BE" w:rsidP="00C068BE">
      <w:pPr>
        <w:rPr>
          <w:rFonts w:ascii="Verdana" w:hAnsi="Verdana"/>
          <w:sz w:val="20"/>
          <w:szCs w:val="20"/>
        </w:rPr>
      </w:pPr>
      <w:r>
        <w:rPr>
          <w:rFonts w:ascii="Verdana" w:hAnsi="Verdana"/>
          <w:sz w:val="20"/>
          <w:szCs w:val="20"/>
        </w:rPr>
        <w:t xml:space="preserve">1% </w:t>
      </w:r>
      <w:proofErr w:type="spellStart"/>
      <w:r>
        <w:rPr>
          <w:rFonts w:ascii="Verdana" w:hAnsi="Verdana"/>
          <w:sz w:val="20"/>
          <w:szCs w:val="20"/>
        </w:rPr>
        <w:t>Virkon</w:t>
      </w:r>
      <w:proofErr w:type="spellEnd"/>
      <w:r>
        <w:rPr>
          <w:rFonts w:ascii="Verdana" w:hAnsi="Verdana"/>
          <w:sz w:val="20"/>
          <w:szCs w:val="20"/>
        </w:rPr>
        <w:t xml:space="preserve"> Solution – 1 tablet is dissolved in 500ml room temp tap water and mixed well. Make solution fresh each week or when the colour of the solution turns from pink to white (usually about a week)</w:t>
      </w:r>
    </w:p>
    <w:p w14:paraId="0A13480C" w14:textId="77777777" w:rsidR="00C068BE" w:rsidRDefault="00C068BE" w:rsidP="00C068BE">
      <w:pPr>
        <w:rPr>
          <w:rFonts w:ascii="Verdana" w:hAnsi="Verdana"/>
          <w:sz w:val="20"/>
          <w:szCs w:val="20"/>
        </w:rPr>
      </w:pPr>
    </w:p>
    <w:p w14:paraId="20BFAA3C" w14:textId="77777777" w:rsidR="00C068BE" w:rsidRDefault="00C068BE" w:rsidP="00C068BE">
      <w:pPr>
        <w:rPr>
          <w:rFonts w:ascii="Verdana" w:hAnsi="Verdana"/>
          <w:sz w:val="20"/>
          <w:szCs w:val="20"/>
        </w:rPr>
      </w:pPr>
      <w:r>
        <w:rPr>
          <w:rFonts w:ascii="Verdana" w:hAnsi="Verdana"/>
          <w:sz w:val="20"/>
          <w:szCs w:val="20"/>
        </w:rPr>
        <w:t>Collect contaminated tips, tubes and other items for disposal in a biosafety bag inside the biosafety c</w:t>
      </w:r>
      <w:r w:rsidR="00E30163">
        <w:rPr>
          <w:rFonts w:ascii="Verdana" w:hAnsi="Verdana"/>
          <w:sz w:val="20"/>
          <w:szCs w:val="20"/>
        </w:rPr>
        <w:t>abinet. Seal and remove bag when</w:t>
      </w:r>
      <w:r>
        <w:rPr>
          <w:rFonts w:ascii="Verdana" w:hAnsi="Verdana"/>
          <w:sz w:val="20"/>
          <w:szCs w:val="20"/>
        </w:rPr>
        <w:t xml:space="preserve"> finished.</w:t>
      </w:r>
    </w:p>
    <w:p w14:paraId="73F28A46" w14:textId="77777777" w:rsidR="00C068BE" w:rsidRDefault="00C068BE" w:rsidP="00C068BE">
      <w:pPr>
        <w:rPr>
          <w:rFonts w:ascii="Verdana" w:hAnsi="Verdana"/>
          <w:sz w:val="20"/>
          <w:szCs w:val="20"/>
        </w:rPr>
      </w:pPr>
    </w:p>
    <w:p w14:paraId="3AAF8E66" w14:textId="77777777" w:rsidR="00C068BE" w:rsidRDefault="00C068BE" w:rsidP="00C068BE">
      <w:pPr>
        <w:rPr>
          <w:rFonts w:ascii="Verdana" w:hAnsi="Verdana"/>
          <w:sz w:val="20"/>
          <w:szCs w:val="20"/>
        </w:rPr>
      </w:pPr>
      <w:r>
        <w:rPr>
          <w:rFonts w:ascii="Verdana" w:hAnsi="Verdana"/>
          <w:sz w:val="20"/>
          <w:szCs w:val="20"/>
        </w:rPr>
        <w:t>Wipe down pipette</w:t>
      </w:r>
      <w:r w:rsidR="00E30163">
        <w:rPr>
          <w:rFonts w:ascii="Verdana" w:hAnsi="Verdana"/>
          <w:sz w:val="20"/>
          <w:szCs w:val="20"/>
        </w:rPr>
        <w:t>s</w:t>
      </w:r>
      <w:r>
        <w:rPr>
          <w:rFonts w:ascii="Verdana" w:hAnsi="Verdana"/>
          <w:sz w:val="20"/>
          <w:szCs w:val="20"/>
        </w:rPr>
        <w:t>, tip</w:t>
      </w:r>
      <w:r w:rsidR="00E30163">
        <w:rPr>
          <w:rFonts w:ascii="Verdana" w:hAnsi="Verdana"/>
          <w:sz w:val="20"/>
          <w:szCs w:val="20"/>
        </w:rPr>
        <w:t xml:space="preserve"> </w:t>
      </w:r>
      <w:r>
        <w:rPr>
          <w:rFonts w:ascii="Verdana" w:hAnsi="Verdana"/>
          <w:sz w:val="20"/>
          <w:szCs w:val="20"/>
        </w:rPr>
        <w:t>boxes etc with 70% EtOH before removing from biosafety cabinet.</w:t>
      </w:r>
    </w:p>
    <w:p w14:paraId="7BF6B957" w14:textId="77777777" w:rsidR="00C068BE" w:rsidRDefault="00C068BE" w:rsidP="00C068BE">
      <w:pPr>
        <w:rPr>
          <w:rFonts w:ascii="Verdana" w:hAnsi="Verdana"/>
          <w:sz w:val="20"/>
          <w:szCs w:val="20"/>
        </w:rPr>
      </w:pPr>
    </w:p>
    <w:p w14:paraId="43313A16" w14:textId="77777777" w:rsidR="00C068BE" w:rsidRDefault="00C068BE" w:rsidP="00C068BE">
      <w:pPr>
        <w:rPr>
          <w:rFonts w:ascii="Verdana" w:hAnsi="Verdana"/>
          <w:sz w:val="20"/>
          <w:szCs w:val="20"/>
        </w:rPr>
      </w:pPr>
      <w:r w:rsidRPr="00955F2E">
        <w:rPr>
          <w:rFonts w:ascii="Verdana" w:hAnsi="Verdana"/>
          <w:sz w:val="20"/>
          <w:szCs w:val="20"/>
        </w:rPr>
        <w:lastRenderedPageBreak/>
        <w:t xml:space="preserve">Liquid waste </w:t>
      </w:r>
      <w:r>
        <w:rPr>
          <w:rFonts w:ascii="Verdana" w:hAnsi="Verdana"/>
          <w:sz w:val="20"/>
          <w:szCs w:val="20"/>
        </w:rPr>
        <w:t xml:space="preserve">– Add to 1L </w:t>
      </w:r>
      <w:proofErr w:type="spellStart"/>
      <w:r>
        <w:rPr>
          <w:rFonts w:ascii="Verdana" w:hAnsi="Verdana"/>
          <w:sz w:val="20"/>
          <w:szCs w:val="20"/>
        </w:rPr>
        <w:t>schott</w:t>
      </w:r>
      <w:proofErr w:type="spellEnd"/>
      <w:r>
        <w:rPr>
          <w:rFonts w:ascii="Verdana" w:hAnsi="Verdana"/>
          <w:sz w:val="20"/>
          <w:szCs w:val="20"/>
        </w:rPr>
        <w:t xml:space="preserve"> bottle followed by an equal volume of 1% </w:t>
      </w:r>
      <w:proofErr w:type="spellStart"/>
      <w:r>
        <w:rPr>
          <w:rFonts w:ascii="Verdana" w:hAnsi="Verdana"/>
          <w:sz w:val="20"/>
          <w:szCs w:val="20"/>
        </w:rPr>
        <w:t>virkon</w:t>
      </w:r>
      <w:proofErr w:type="spellEnd"/>
      <w:r>
        <w:rPr>
          <w:rFonts w:ascii="Verdana" w:hAnsi="Verdana"/>
          <w:sz w:val="20"/>
          <w:szCs w:val="20"/>
        </w:rPr>
        <w:t xml:space="preserve"> solution. When full,</w:t>
      </w:r>
      <w:r w:rsidRPr="00955F2E">
        <w:rPr>
          <w:rFonts w:ascii="Verdana" w:hAnsi="Verdana"/>
          <w:sz w:val="20"/>
          <w:szCs w:val="20"/>
        </w:rPr>
        <w:t xml:space="preserve"> add</w:t>
      </w:r>
      <w:r>
        <w:rPr>
          <w:rFonts w:ascii="Verdana" w:hAnsi="Verdana"/>
          <w:sz w:val="20"/>
          <w:szCs w:val="20"/>
        </w:rPr>
        <w:t xml:space="preserve"> 2</w:t>
      </w:r>
      <w:r w:rsidRPr="00955F2E">
        <w:rPr>
          <w:rFonts w:ascii="Verdana" w:hAnsi="Verdana"/>
          <w:sz w:val="20"/>
          <w:szCs w:val="20"/>
        </w:rPr>
        <w:t xml:space="preserve"> </w:t>
      </w:r>
      <w:proofErr w:type="spellStart"/>
      <w:r w:rsidRPr="00955F2E">
        <w:rPr>
          <w:rFonts w:ascii="Verdana" w:hAnsi="Verdana"/>
          <w:sz w:val="20"/>
          <w:szCs w:val="20"/>
        </w:rPr>
        <w:t>Virkon</w:t>
      </w:r>
      <w:proofErr w:type="spellEnd"/>
      <w:r w:rsidRPr="00955F2E">
        <w:rPr>
          <w:rFonts w:ascii="Verdana" w:hAnsi="Verdana"/>
          <w:sz w:val="20"/>
          <w:szCs w:val="20"/>
        </w:rPr>
        <w:t xml:space="preserve"> tablets</w:t>
      </w:r>
      <w:r>
        <w:rPr>
          <w:rFonts w:ascii="Verdana" w:hAnsi="Verdana"/>
          <w:sz w:val="20"/>
          <w:szCs w:val="20"/>
        </w:rPr>
        <w:t xml:space="preserve"> (1 per 500ml) mix well and decontaminate overnight. Dispose decontaminated liquid in</w:t>
      </w:r>
      <w:r w:rsidR="00E30163">
        <w:rPr>
          <w:rFonts w:ascii="Verdana" w:hAnsi="Verdana"/>
          <w:sz w:val="20"/>
          <w:szCs w:val="20"/>
        </w:rPr>
        <w:t xml:space="preserve"> sink </w:t>
      </w:r>
      <w:r w:rsidR="00F37C6E">
        <w:rPr>
          <w:rFonts w:ascii="Verdana" w:hAnsi="Verdana"/>
          <w:sz w:val="20"/>
          <w:szCs w:val="20"/>
        </w:rPr>
        <w:t xml:space="preserve">6D 316.1 </w:t>
      </w:r>
      <w:r w:rsidR="00E30163">
        <w:rPr>
          <w:rFonts w:ascii="Verdana" w:hAnsi="Verdana"/>
          <w:sz w:val="20"/>
          <w:szCs w:val="20"/>
        </w:rPr>
        <w:t>(but not the sink dedicated to hand washing 6D316.</w:t>
      </w:r>
      <w:r w:rsidR="00F37C6E">
        <w:rPr>
          <w:rFonts w:ascii="Verdana" w:hAnsi="Verdana"/>
          <w:sz w:val="20"/>
          <w:szCs w:val="20"/>
        </w:rPr>
        <w:t>2</w:t>
      </w:r>
      <w:r w:rsidR="00E30163">
        <w:rPr>
          <w:rFonts w:ascii="Verdana" w:hAnsi="Verdana"/>
          <w:sz w:val="20"/>
          <w:szCs w:val="20"/>
        </w:rPr>
        <w:t>)</w:t>
      </w:r>
    </w:p>
    <w:p w14:paraId="528E4505" w14:textId="77777777" w:rsidR="00C068BE" w:rsidRDefault="00C068BE" w:rsidP="00C068BE">
      <w:pPr>
        <w:rPr>
          <w:rFonts w:ascii="Verdana" w:hAnsi="Verdana"/>
          <w:sz w:val="20"/>
          <w:szCs w:val="20"/>
        </w:rPr>
      </w:pPr>
    </w:p>
    <w:p w14:paraId="36FAA14A" w14:textId="77777777" w:rsidR="00C068BE" w:rsidRPr="00955F2E" w:rsidRDefault="00C068BE" w:rsidP="00C068BE">
      <w:pPr>
        <w:rPr>
          <w:rFonts w:ascii="Verdana" w:hAnsi="Verdana"/>
          <w:sz w:val="20"/>
          <w:szCs w:val="20"/>
        </w:rPr>
      </w:pPr>
      <w:r>
        <w:rPr>
          <w:rFonts w:ascii="Verdana" w:hAnsi="Verdana"/>
          <w:sz w:val="20"/>
          <w:szCs w:val="20"/>
        </w:rPr>
        <w:t>Sharps – into a metal pipette canister and autoclaved, prior to disposal in sharps bins.</w:t>
      </w:r>
    </w:p>
    <w:p w14:paraId="480A70DE" w14:textId="77777777" w:rsidR="00C068BE" w:rsidRDefault="00C068BE" w:rsidP="00C068BE">
      <w:pPr>
        <w:rPr>
          <w:rFonts w:ascii="Verdana" w:hAnsi="Verdana"/>
          <w:sz w:val="20"/>
          <w:szCs w:val="20"/>
        </w:rPr>
      </w:pPr>
    </w:p>
    <w:p w14:paraId="5398DE72" w14:textId="77777777" w:rsidR="00C068BE" w:rsidRPr="00955F2E" w:rsidRDefault="00C068BE" w:rsidP="00C068BE">
      <w:pPr>
        <w:rPr>
          <w:rFonts w:ascii="Verdana" w:hAnsi="Verdana"/>
          <w:sz w:val="20"/>
          <w:szCs w:val="20"/>
        </w:rPr>
      </w:pPr>
      <w:r w:rsidRPr="00955F2E">
        <w:rPr>
          <w:rFonts w:ascii="Verdana" w:hAnsi="Verdana"/>
          <w:sz w:val="20"/>
          <w:szCs w:val="20"/>
        </w:rPr>
        <w:t>Other waste – double bag using biohazard waste bags</w:t>
      </w:r>
      <w:r>
        <w:rPr>
          <w:rFonts w:ascii="Verdana" w:hAnsi="Verdana"/>
          <w:sz w:val="20"/>
          <w:szCs w:val="20"/>
        </w:rPr>
        <w:t>, the waste should go into a yellow biological waste bin.</w:t>
      </w:r>
    </w:p>
    <w:p w14:paraId="2A9AA78A" w14:textId="77777777" w:rsidR="00C068BE" w:rsidRDefault="00C068BE" w:rsidP="00C068BE">
      <w:pPr>
        <w:rPr>
          <w:rFonts w:ascii="Verdana" w:hAnsi="Verdana"/>
          <w:sz w:val="20"/>
          <w:szCs w:val="20"/>
        </w:rPr>
      </w:pPr>
    </w:p>
    <w:p w14:paraId="0A1A10BC" w14:textId="77777777" w:rsidR="00C068BE" w:rsidRDefault="00C068BE" w:rsidP="00C068BE">
      <w:pPr>
        <w:rPr>
          <w:rFonts w:ascii="Verdana" w:hAnsi="Verdana"/>
          <w:sz w:val="20"/>
          <w:szCs w:val="20"/>
        </w:rPr>
      </w:pPr>
      <w:r>
        <w:rPr>
          <w:rFonts w:ascii="Verdana" w:hAnsi="Verdana"/>
          <w:sz w:val="20"/>
          <w:szCs w:val="20"/>
        </w:rPr>
        <w:t>Biohazard cabinet</w:t>
      </w:r>
      <w:r w:rsidRPr="00955F2E">
        <w:rPr>
          <w:rFonts w:ascii="Verdana" w:hAnsi="Verdana"/>
          <w:sz w:val="20"/>
          <w:szCs w:val="20"/>
        </w:rPr>
        <w:t xml:space="preserve"> </w:t>
      </w:r>
      <w:r>
        <w:rPr>
          <w:rFonts w:ascii="Verdana" w:hAnsi="Verdana"/>
          <w:sz w:val="20"/>
          <w:szCs w:val="20"/>
        </w:rPr>
        <w:t xml:space="preserve">– After you have finished your work, clean the work surface of the cabinet with 1% </w:t>
      </w:r>
      <w:proofErr w:type="spellStart"/>
      <w:r>
        <w:rPr>
          <w:rFonts w:ascii="Verdana" w:hAnsi="Verdana"/>
          <w:sz w:val="20"/>
          <w:szCs w:val="20"/>
        </w:rPr>
        <w:t>virkon</w:t>
      </w:r>
      <w:proofErr w:type="spellEnd"/>
      <w:r>
        <w:rPr>
          <w:rFonts w:ascii="Verdana" w:hAnsi="Verdana"/>
          <w:sz w:val="20"/>
          <w:szCs w:val="20"/>
        </w:rPr>
        <w:t xml:space="preserve"> solution, then 70%EtOH and turn on UV when the hood is closed.</w:t>
      </w:r>
    </w:p>
    <w:p w14:paraId="2500A73C" w14:textId="77777777" w:rsidR="00C068BE" w:rsidRDefault="00C068BE" w:rsidP="00C068BE">
      <w:pPr>
        <w:rPr>
          <w:rFonts w:ascii="Verdana" w:hAnsi="Verdana"/>
          <w:sz w:val="20"/>
          <w:szCs w:val="20"/>
        </w:rPr>
      </w:pPr>
    </w:p>
    <w:p w14:paraId="251C5F59" w14:textId="77777777" w:rsidR="00C068BE" w:rsidRDefault="00C068BE" w:rsidP="00C068BE">
      <w:pPr>
        <w:rPr>
          <w:rFonts w:ascii="Verdana" w:hAnsi="Verdana"/>
          <w:sz w:val="20"/>
          <w:szCs w:val="20"/>
        </w:rPr>
      </w:pPr>
      <w:r>
        <w:rPr>
          <w:rFonts w:ascii="Verdana" w:hAnsi="Verdana"/>
          <w:sz w:val="20"/>
          <w:szCs w:val="20"/>
        </w:rPr>
        <w:t xml:space="preserve">General surfaces- Clean thoroughly with 1% </w:t>
      </w:r>
      <w:proofErr w:type="spellStart"/>
      <w:r>
        <w:rPr>
          <w:rFonts w:ascii="Verdana" w:hAnsi="Verdana"/>
          <w:sz w:val="20"/>
          <w:szCs w:val="20"/>
        </w:rPr>
        <w:t>virkon</w:t>
      </w:r>
      <w:proofErr w:type="spellEnd"/>
      <w:r>
        <w:rPr>
          <w:rFonts w:ascii="Verdana" w:hAnsi="Verdana"/>
          <w:sz w:val="20"/>
          <w:szCs w:val="20"/>
        </w:rPr>
        <w:t xml:space="preserve"> solution and EtOH as above. </w:t>
      </w:r>
    </w:p>
    <w:p w14:paraId="4C8295CC" w14:textId="77777777" w:rsidR="00C068BE" w:rsidRDefault="00C068BE" w:rsidP="00C068BE">
      <w:pPr>
        <w:rPr>
          <w:rFonts w:ascii="Verdana" w:hAnsi="Verdana"/>
          <w:sz w:val="20"/>
          <w:szCs w:val="20"/>
        </w:rPr>
      </w:pPr>
    </w:p>
    <w:p w14:paraId="48B9A35A" w14:textId="77777777" w:rsidR="00C068BE" w:rsidRDefault="00C068BE" w:rsidP="00C068BE">
      <w:pPr>
        <w:rPr>
          <w:rFonts w:ascii="Verdana" w:hAnsi="Verdana"/>
          <w:sz w:val="20"/>
          <w:szCs w:val="20"/>
        </w:rPr>
      </w:pPr>
      <w:r>
        <w:rPr>
          <w:rFonts w:ascii="Verdana" w:hAnsi="Verdana"/>
          <w:sz w:val="20"/>
          <w:szCs w:val="20"/>
        </w:rPr>
        <w:t>Re-</w:t>
      </w:r>
      <w:r w:rsidRPr="00955F2E">
        <w:rPr>
          <w:rFonts w:ascii="Verdana" w:hAnsi="Verdana"/>
          <w:sz w:val="20"/>
          <w:szCs w:val="20"/>
        </w:rPr>
        <w:t>usable containers</w:t>
      </w:r>
      <w:r>
        <w:rPr>
          <w:rFonts w:ascii="Verdana" w:hAnsi="Verdana"/>
          <w:sz w:val="20"/>
          <w:szCs w:val="20"/>
        </w:rPr>
        <w:t xml:space="preserve">- Soak in 1% </w:t>
      </w:r>
      <w:proofErr w:type="spellStart"/>
      <w:r>
        <w:rPr>
          <w:rFonts w:ascii="Verdana" w:hAnsi="Verdana"/>
          <w:sz w:val="20"/>
          <w:szCs w:val="20"/>
        </w:rPr>
        <w:t>Virkon</w:t>
      </w:r>
      <w:proofErr w:type="spellEnd"/>
      <w:r>
        <w:rPr>
          <w:rFonts w:ascii="Verdana" w:hAnsi="Verdana"/>
          <w:sz w:val="20"/>
          <w:szCs w:val="20"/>
        </w:rPr>
        <w:t xml:space="preserve"> for at least 2 hours, rinse thoroughly then clean as required. Autoclave.</w:t>
      </w:r>
    </w:p>
    <w:p w14:paraId="14BC9149" w14:textId="77777777" w:rsidR="00C068BE" w:rsidRDefault="00C068BE" w:rsidP="00C068BE">
      <w:pPr>
        <w:rPr>
          <w:rFonts w:ascii="Verdana" w:hAnsi="Verdana"/>
          <w:sz w:val="20"/>
          <w:szCs w:val="20"/>
        </w:rPr>
      </w:pPr>
    </w:p>
    <w:p w14:paraId="211E4BFA" w14:textId="77777777" w:rsidR="00C068BE" w:rsidRDefault="00C068BE" w:rsidP="00C068BE">
      <w:pPr>
        <w:rPr>
          <w:rFonts w:ascii="Verdana" w:hAnsi="Verdana"/>
          <w:sz w:val="20"/>
          <w:szCs w:val="20"/>
        </w:rPr>
      </w:pPr>
      <w:r>
        <w:rPr>
          <w:rFonts w:ascii="Verdana" w:hAnsi="Verdana"/>
          <w:sz w:val="20"/>
          <w:szCs w:val="20"/>
        </w:rPr>
        <w:t xml:space="preserve">Spills – Mop up thoroughly with 1% </w:t>
      </w:r>
      <w:proofErr w:type="spellStart"/>
      <w:r>
        <w:rPr>
          <w:rFonts w:ascii="Verdana" w:hAnsi="Verdana"/>
          <w:sz w:val="20"/>
          <w:szCs w:val="20"/>
        </w:rPr>
        <w:t>virkon</w:t>
      </w:r>
      <w:proofErr w:type="spellEnd"/>
      <w:r>
        <w:rPr>
          <w:rFonts w:ascii="Verdana" w:hAnsi="Verdana"/>
          <w:sz w:val="20"/>
          <w:szCs w:val="20"/>
        </w:rPr>
        <w:t xml:space="preserve"> solution soaked absorb material and disposed of all contaminated items, including materials used to mop up, in biohazard bags and autoclave.</w:t>
      </w:r>
    </w:p>
    <w:p w14:paraId="225580FA" w14:textId="77777777" w:rsidR="00C068BE" w:rsidRDefault="00C068BE" w:rsidP="00C068BE">
      <w:pPr>
        <w:rPr>
          <w:rFonts w:ascii="Verdana" w:hAnsi="Verdana"/>
          <w:sz w:val="20"/>
          <w:szCs w:val="20"/>
        </w:rPr>
      </w:pPr>
    </w:p>
    <w:p w14:paraId="4541B16A" w14:textId="77777777" w:rsidR="00C068BE" w:rsidRPr="00955F2E" w:rsidRDefault="00C068BE" w:rsidP="00C068BE">
      <w:pPr>
        <w:rPr>
          <w:rFonts w:ascii="Verdana" w:hAnsi="Verdana"/>
          <w:b/>
          <w:sz w:val="20"/>
          <w:szCs w:val="20"/>
        </w:rPr>
      </w:pPr>
      <w:r w:rsidRPr="00955F2E">
        <w:rPr>
          <w:rFonts w:ascii="Verdana" w:hAnsi="Verdana"/>
          <w:b/>
          <w:sz w:val="20"/>
          <w:szCs w:val="20"/>
        </w:rPr>
        <w:t>Storage:</w:t>
      </w:r>
    </w:p>
    <w:p w14:paraId="04400B00" w14:textId="77777777" w:rsidR="00C068BE" w:rsidRPr="00955F2E" w:rsidRDefault="00C068BE" w:rsidP="00C068BE">
      <w:pPr>
        <w:rPr>
          <w:rFonts w:ascii="Verdana" w:hAnsi="Verdana"/>
          <w:sz w:val="20"/>
          <w:szCs w:val="20"/>
        </w:rPr>
      </w:pPr>
    </w:p>
    <w:p w14:paraId="27F2AA29" w14:textId="77777777" w:rsidR="00C068BE" w:rsidRDefault="00C068BE" w:rsidP="00C068BE">
      <w:pPr>
        <w:rPr>
          <w:rFonts w:ascii="Verdana" w:hAnsi="Verdana"/>
          <w:sz w:val="20"/>
          <w:szCs w:val="20"/>
        </w:rPr>
      </w:pPr>
      <w:r w:rsidRPr="00955F2E">
        <w:rPr>
          <w:rFonts w:ascii="Verdana" w:hAnsi="Verdana"/>
          <w:sz w:val="20"/>
          <w:szCs w:val="20"/>
        </w:rPr>
        <w:t>Stocks of concentrated adenovirus and lentivirus and other samples containing viru</w:t>
      </w:r>
      <w:r>
        <w:rPr>
          <w:rFonts w:ascii="Verdana" w:hAnsi="Verdana"/>
          <w:sz w:val="20"/>
          <w:szCs w:val="20"/>
        </w:rPr>
        <w:t>s are clearly labelled in sealed containers and stored in the locked -</w:t>
      </w:r>
      <w:r w:rsidRPr="00955F2E">
        <w:rPr>
          <w:rFonts w:ascii="Verdana" w:hAnsi="Verdana"/>
          <w:sz w:val="20"/>
          <w:szCs w:val="20"/>
        </w:rPr>
        <w:t xml:space="preserve">80°C </w:t>
      </w:r>
      <w:r w:rsidR="005B3131">
        <w:rPr>
          <w:rFonts w:ascii="Verdana" w:hAnsi="Verdana"/>
          <w:sz w:val="20"/>
          <w:szCs w:val="20"/>
        </w:rPr>
        <w:t>l</w:t>
      </w:r>
      <w:r w:rsidR="00F37C6E">
        <w:rPr>
          <w:rFonts w:ascii="Verdana" w:hAnsi="Verdana"/>
          <w:sz w:val="20"/>
          <w:szCs w:val="20"/>
        </w:rPr>
        <w:t>evel 5 southern end of FMC behind Anatomy museum.</w:t>
      </w:r>
      <w:r w:rsidR="002E2883">
        <w:rPr>
          <w:rFonts w:ascii="Verdana" w:hAnsi="Verdana"/>
          <w:sz w:val="20"/>
          <w:szCs w:val="20"/>
        </w:rPr>
        <w:t xml:space="preserve"> 5D 400.4</w:t>
      </w:r>
    </w:p>
    <w:p w14:paraId="2376B259" w14:textId="77777777" w:rsidR="00C068BE" w:rsidRDefault="00C068BE" w:rsidP="00C068BE">
      <w:pPr>
        <w:rPr>
          <w:rFonts w:ascii="Verdana" w:hAnsi="Verdana"/>
          <w:sz w:val="20"/>
          <w:szCs w:val="20"/>
        </w:rPr>
      </w:pPr>
    </w:p>
    <w:p w14:paraId="1BA4D6CD" w14:textId="77777777" w:rsidR="00C068BE" w:rsidRPr="00955F2E" w:rsidRDefault="00C068BE" w:rsidP="00C068BE">
      <w:pPr>
        <w:rPr>
          <w:rFonts w:ascii="Verdana" w:hAnsi="Verdana"/>
          <w:sz w:val="20"/>
          <w:szCs w:val="20"/>
        </w:rPr>
      </w:pPr>
      <w:r>
        <w:rPr>
          <w:rFonts w:ascii="Verdana" w:hAnsi="Verdana"/>
          <w:sz w:val="20"/>
          <w:szCs w:val="20"/>
        </w:rPr>
        <w:t xml:space="preserve">All samples must be labelled and records of all virus sample must be </w:t>
      </w:r>
      <w:r w:rsidR="005B3131">
        <w:rPr>
          <w:rFonts w:ascii="Verdana" w:hAnsi="Verdana"/>
          <w:sz w:val="20"/>
          <w:szCs w:val="20"/>
        </w:rPr>
        <w:t xml:space="preserve">kept. Virus stocks are recorded. </w:t>
      </w:r>
      <w:r>
        <w:rPr>
          <w:rFonts w:ascii="Verdana" w:hAnsi="Verdana"/>
          <w:sz w:val="20"/>
          <w:szCs w:val="20"/>
        </w:rPr>
        <w:t>Storage of virus treated samples is also recorded in the biosafety folder.</w:t>
      </w:r>
    </w:p>
    <w:p w14:paraId="1DD1417A" w14:textId="77777777" w:rsidR="00C068BE" w:rsidRPr="00955F2E" w:rsidRDefault="00C068BE" w:rsidP="00C068BE">
      <w:pPr>
        <w:rPr>
          <w:rFonts w:ascii="Verdana" w:hAnsi="Verdana"/>
          <w:sz w:val="20"/>
          <w:szCs w:val="20"/>
        </w:rPr>
      </w:pPr>
    </w:p>
    <w:p w14:paraId="7FC9B856" w14:textId="77777777" w:rsidR="00C068BE" w:rsidRPr="00955F2E" w:rsidRDefault="00C068BE" w:rsidP="00C068BE">
      <w:pPr>
        <w:rPr>
          <w:rFonts w:ascii="Verdana" w:hAnsi="Verdana"/>
          <w:b/>
          <w:sz w:val="20"/>
          <w:szCs w:val="20"/>
        </w:rPr>
      </w:pPr>
      <w:r w:rsidRPr="00955F2E">
        <w:rPr>
          <w:rFonts w:ascii="Verdana" w:hAnsi="Verdana"/>
          <w:b/>
          <w:sz w:val="20"/>
          <w:szCs w:val="20"/>
        </w:rPr>
        <w:t>Transport:</w:t>
      </w:r>
    </w:p>
    <w:p w14:paraId="78B1C555" w14:textId="77777777" w:rsidR="00C068BE" w:rsidRPr="00955F2E" w:rsidRDefault="00C068BE" w:rsidP="00C068BE">
      <w:pPr>
        <w:rPr>
          <w:rFonts w:ascii="Verdana" w:hAnsi="Verdana"/>
          <w:sz w:val="20"/>
          <w:szCs w:val="20"/>
        </w:rPr>
      </w:pPr>
    </w:p>
    <w:p w14:paraId="56EC4517" w14:textId="77777777" w:rsidR="00E30163" w:rsidRPr="005B3131" w:rsidRDefault="00C068BE" w:rsidP="005B3131">
      <w:pPr>
        <w:rPr>
          <w:rFonts w:ascii="Verdana" w:hAnsi="Verdana"/>
          <w:sz w:val="20"/>
          <w:szCs w:val="20"/>
        </w:rPr>
      </w:pPr>
      <w:r w:rsidRPr="00955F2E">
        <w:rPr>
          <w:rFonts w:ascii="Verdana" w:hAnsi="Verdana"/>
          <w:sz w:val="20"/>
          <w:szCs w:val="20"/>
        </w:rPr>
        <w:t>Virus</w:t>
      </w:r>
      <w:r>
        <w:rPr>
          <w:rFonts w:ascii="Verdana" w:hAnsi="Verdana"/>
          <w:sz w:val="20"/>
          <w:szCs w:val="20"/>
        </w:rPr>
        <w:t xml:space="preserve"> samples</w:t>
      </w:r>
      <w:r w:rsidRPr="00955F2E">
        <w:rPr>
          <w:rFonts w:ascii="Verdana" w:hAnsi="Verdana"/>
          <w:sz w:val="20"/>
          <w:szCs w:val="20"/>
        </w:rPr>
        <w:t xml:space="preserve"> must be</w:t>
      </w:r>
      <w:r>
        <w:rPr>
          <w:rFonts w:ascii="Verdana" w:hAnsi="Verdana"/>
          <w:sz w:val="20"/>
          <w:szCs w:val="20"/>
        </w:rPr>
        <w:t xml:space="preserve"> labelled and</w:t>
      </w:r>
      <w:r w:rsidRPr="00955F2E">
        <w:rPr>
          <w:rFonts w:ascii="Verdana" w:hAnsi="Verdana"/>
          <w:sz w:val="20"/>
          <w:szCs w:val="20"/>
        </w:rPr>
        <w:t xml:space="preserve"> double contained in un-breakable containers when transporting outside a PC2 facility</w:t>
      </w:r>
      <w:r>
        <w:rPr>
          <w:rFonts w:ascii="Verdana" w:hAnsi="Verdana"/>
          <w:sz w:val="20"/>
          <w:szCs w:val="20"/>
        </w:rPr>
        <w:t xml:space="preserve"> for storage or use within another certified facility.</w:t>
      </w:r>
    </w:p>
    <w:p w14:paraId="41235CE5" w14:textId="77777777" w:rsidR="00985DF6" w:rsidRDefault="00985DF6" w:rsidP="005B3131">
      <w:pPr>
        <w:spacing w:before="120" w:after="120"/>
        <w:rPr>
          <w:rFonts w:ascii="Verdana" w:hAnsi="Verdana" w:cs="Arial"/>
          <w:u w:val="single"/>
        </w:rPr>
      </w:pPr>
    </w:p>
    <w:p w14:paraId="04AF995B" w14:textId="77777777" w:rsidR="00C068BE" w:rsidRPr="00E30163" w:rsidRDefault="00C068BE" w:rsidP="005B3131">
      <w:pPr>
        <w:spacing w:before="120" w:after="120"/>
        <w:rPr>
          <w:rFonts w:ascii="Verdana" w:hAnsi="Verdana" w:cs="Arial"/>
        </w:rPr>
      </w:pPr>
      <w:r w:rsidRPr="00E30163">
        <w:rPr>
          <w:rFonts w:ascii="Verdana" w:hAnsi="Verdana" w:cs="Arial"/>
          <w:u w:val="single"/>
        </w:rPr>
        <w:t>Supervisor approval</w:t>
      </w:r>
    </w:p>
    <w:p w14:paraId="5F9AFB91" w14:textId="77777777" w:rsidR="00C068BE" w:rsidRPr="00E30163" w:rsidRDefault="00C068BE" w:rsidP="00E30163">
      <w:pPr>
        <w:tabs>
          <w:tab w:val="num" w:pos="0"/>
        </w:tabs>
        <w:spacing w:before="120" w:after="120"/>
        <w:ind w:left="720" w:hanging="720"/>
        <w:rPr>
          <w:rFonts w:ascii="Verdana" w:hAnsi="Verdana" w:cs="Arial"/>
        </w:rPr>
      </w:pPr>
      <w:r w:rsidRPr="00E30163">
        <w:rPr>
          <w:rFonts w:ascii="Verdana" w:hAnsi="Verdana" w:cs="Arial"/>
        </w:rPr>
        <w:t>Name__________________________</w:t>
      </w:r>
    </w:p>
    <w:p w14:paraId="57B1DCC4" w14:textId="77777777" w:rsidR="00C068BE" w:rsidRPr="00E30163" w:rsidRDefault="00C068BE" w:rsidP="00E30163">
      <w:pPr>
        <w:tabs>
          <w:tab w:val="num" w:pos="0"/>
        </w:tabs>
        <w:spacing w:before="120" w:after="120"/>
        <w:ind w:left="720" w:hanging="720"/>
        <w:rPr>
          <w:rFonts w:ascii="Verdana" w:hAnsi="Verdana" w:cs="Arial"/>
        </w:rPr>
      </w:pPr>
      <w:r w:rsidRPr="00E30163">
        <w:rPr>
          <w:rFonts w:ascii="Verdana" w:hAnsi="Verdana" w:cs="Arial"/>
        </w:rPr>
        <w:t>Signature_______________________</w:t>
      </w:r>
    </w:p>
    <w:sectPr w:rsidR="00C068BE" w:rsidRPr="00E30163" w:rsidSect="00E30163">
      <w:headerReference w:type="default" r:id="rId8"/>
      <w:pgSz w:w="12240" w:h="15840" w:code="1"/>
      <w:pgMar w:top="540" w:right="1080" w:bottom="899" w:left="126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8D98A" w14:textId="77777777" w:rsidR="00A557E8" w:rsidRDefault="00A557E8">
      <w:r>
        <w:separator/>
      </w:r>
    </w:p>
  </w:endnote>
  <w:endnote w:type="continuationSeparator" w:id="0">
    <w:p w14:paraId="75215C77" w14:textId="77777777" w:rsidR="00A557E8" w:rsidRDefault="00A55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1C9E2" w14:textId="77777777" w:rsidR="00A557E8" w:rsidRDefault="00A557E8">
      <w:r>
        <w:separator/>
      </w:r>
    </w:p>
  </w:footnote>
  <w:footnote w:type="continuationSeparator" w:id="0">
    <w:p w14:paraId="2883CC4C" w14:textId="77777777" w:rsidR="00A557E8" w:rsidRDefault="00A55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73D8E" w14:textId="77777777" w:rsidR="00C068BE" w:rsidRPr="00ED37B0" w:rsidRDefault="00C068BE">
    <w:pPr>
      <w:pStyle w:val="Header"/>
      <w:rPr>
        <w:rFonts w:ascii="Arial" w:hAnsi="Arial" w:cs="Arial"/>
        <w:sz w:val="20"/>
        <w:szCs w:val="20"/>
        <w:lang w:val="en-US"/>
      </w:rPr>
    </w:pPr>
    <w:r>
      <w:rPr>
        <w:rFonts w:ascii="Arial" w:hAnsi="Arial" w:cs="Arial"/>
        <w:sz w:val="20"/>
        <w:szCs w:val="20"/>
        <w:lang w:val="en-US"/>
      </w:rPr>
      <w:tab/>
    </w:r>
    <w:r w:rsidR="00E30163">
      <w:rPr>
        <w:rFonts w:ascii="Arial" w:hAnsi="Arial" w:cs="Arial"/>
        <w:sz w:val="20"/>
        <w:szCs w:val="20"/>
        <w:lang w:val="en-US"/>
      </w:rPr>
      <w:t>Recombinant adenovirus and lentivirus safety</w:t>
    </w:r>
    <w:r>
      <w:rPr>
        <w:rFonts w:ascii="Arial" w:hAnsi="Arial" w:cs="Arial"/>
        <w:sz w:val="20"/>
        <w:szCs w:val="20"/>
        <w:lang w:val="en-US"/>
      </w:rPr>
      <w:tab/>
      <w:t xml:space="preserve">Page </w:t>
    </w:r>
    <w:r>
      <w:rPr>
        <w:rStyle w:val="PageNumber"/>
      </w:rPr>
      <w:fldChar w:fldCharType="begin"/>
    </w:r>
    <w:r>
      <w:rPr>
        <w:rStyle w:val="PageNumber"/>
      </w:rPr>
      <w:instrText xml:space="preserve"> PAGE </w:instrText>
    </w:r>
    <w:r>
      <w:rPr>
        <w:rStyle w:val="PageNumber"/>
      </w:rPr>
      <w:fldChar w:fldCharType="separate"/>
    </w:r>
    <w:r w:rsidR="00985DF6">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85DF6">
      <w:rPr>
        <w:rStyle w:val="PageNumber"/>
        <w:noProof/>
      </w:rPr>
      <w:t>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50CFF"/>
    <w:multiLevelType w:val="hybridMultilevel"/>
    <w:tmpl w:val="6FBE557E"/>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351A34"/>
    <w:multiLevelType w:val="multilevel"/>
    <w:tmpl w:val="8ABCB0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1D4386"/>
    <w:multiLevelType w:val="hybridMultilevel"/>
    <w:tmpl w:val="66BE0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03C54CF"/>
    <w:multiLevelType w:val="hybridMultilevel"/>
    <w:tmpl w:val="96A6F88A"/>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FE6C8E"/>
    <w:multiLevelType w:val="hybridMultilevel"/>
    <w:tmpl w:val="8ABCB0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DA04FA"/>
    <w:multiLevelType w:val="hybridMultilevel"/>
    <w:tmpl w:val="942CE4F8"/>
    <w:lvl w:ilvl="0" w:tplc="0C090009">
      <w:start w:val="1"/>
      <w:numFmt w:val="bullet"/>
      <w:lvlText w:val=""/>
      <w:lvlJc w:val="left"/>
      <w:pPr>
        <w:tabs>
          <w:tab w:val="num" w:pos="720"/>
        </w:tabs>
        <w:ind w:left="720" w:hanging="360"/>
      </w:pPr>
      <w:rPr>
        <w:rFonts w:ascii="Wingdings" w:hAnsi="Wingdings" w:hint="default"/>
      </w:rPr>
    </w:lvl>
    <w:lvl w:ilvl="1" w:tplc="0C09000B">
      <w:start w:val="1"/>
      <w:numFmt w:val="bullet"/>
      <w:lvlText w:val=""/>
      <w:lvlJc w:val="left"/>
      <w:pPr>
        <w:tabs>
          <w:tab w:val="num" w:pos="1440"/>
        </w:tabs>
        <w:ind w:left="1440" w:hanging="360"/>
      </w:pPr>
      <w:rPr>
        <w:rFonts w:ascii="Wingdings" w:hAnsi="Wingdings" w:hint="default"/>
      </w:rPr>
    </w:lvl>
    <w:lvl w:ilvl="2" w:tplc="0C090009">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CB21BE"/>
    <w:multiLevelType w:val="multilevel"/>
    <w:tmpl w:val="564281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6E44D1D"/>
    <w:multiLevelType w:val="hybridMultilevel"/>
    <w:tmpl w:val="219A9B80"/>
    <w:lvl w:ilvl="0" w:tplc="0C09000B">
      <w:start w:val="1"/>
      <w:numFmt w:val="bullet"/>
      <w:lvlText w:val=""/>
      <w:lvlJc w:val="left"/>
      <w:pPr>
        <w:tabs>
          <w:tab w:val="num" w:pos="1080"/>
        </w:tabs>
        <w:ind w:left="1080" w:hanging="360"/>
      </w:pPr>
      <w:rPr>
        <w:rFonts w:ascii="Wingdings" w:hAnsi="Wingdings" w:hint="default"/>
      </w:rPr>
    </w:lvl>
    <w:lvl w:ilvl="1" w:tplc="0C090009">
      <w:start w:val="1"/>
      <w:numFmt w:val="bullet"/>
      <w:lvlText w:val=""/>
      <w:lvlJc w:val="left"/>
      <w:pPr>
        <w:tabs>
          <w:tab w:val="num" w:pos="1800"/>
        </w:tabs>
        <w:ind w:left="1800" w:hanging="360"/>
      </w:pPr>
      <w:rPr>
        <w:rFonts w:ascii="Wingdings" w:hAnsi="Wingdings"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Wingdings"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Wingdings"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E9B6446"/>
    <w:multiLevelType w:val="hybridMultilevel"/>
    <w:tmpl w:val="2C04DF56"/>
    <w:lvl w:ilvl="0" w:tplc="9E3E1DE8">
      <w:start w:val="1"/>
      <w:numFmt w:val="decimal"/>
      <w:lvlText w:val="%1."/>
      <w:lvlJc w:val="left"/>
      <w:pPr>
        <w:tabs>
          <w:tab w:val="num" w:pos="720"/>
        </w:tabs>
        <w:ind w:left="720" w:hanging="360"/>
      </w:pPr>
      <w:rPr>
        <w:rFonts w:ascii="Verdana" w:eastAsia="Times New Roman" w:hAnsi="Verdana" w:cs="Times New Roman"/>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58F15A78"/>
    <w:multiLevelType w:val="hybridMultilevel"/>
    <w:tmpl w:val="4A840310"/>
    <w:lvl w:ilvl="0" w:tplc="0C09000B">
      <w:start w:val="1"/>
      <w:numFmt w:val="bullet"/>
      <w:lvlText w:val=""/>
      <w:lvlJc w:val="left"/>
      <w:pPr>
        <w:tabs>
          <w:tab w:val="num" w:pos="720"/>
        </w:tabs>
        <w:ind w:left="720" w:hanging="360"/>
      </w:pPr>
      <w:rPr>
        <w:rFonts w:ascii="Wingdings" w:hAnsi="Wingdings" w:hint="default"/>
      </w:rPr>
    </w:lvl>
    <w:lvl w:ilvl="1" w:tplc="6EF886CA">
      <w:start w:val="1"/>
      <w:numFmt w:val="bullet"/>
      <w:lvlText w:val=""/>
      <w:lvlJc w:val="left"/>
      <w:pPr>
        <w:tabs>
          <w:tab w:val="num" w:pos="1440"/>
        </w:tabs>
        <w:ind w:left="1440" w:hanging="360"/>
      </w:pPr>
      <w:rPr>
        <w:rFonts w:ascii="Symbol" w:hAnsi="Symbol" w:hint="default"/>
        <w:sz w:val="16"/>
        <w:szCs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2C6D31"/>
    <w:multiLevelType w:val="hybridMultilevel"/>
    <w:tmpl w:val="6962310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19597B"/>
    <w:multiLevelType w:val="hybridMultilevel"/>
    <w:tmpl w:val="1B96CBC4"/>
    <w:lvl w:ilvl="0" w:tplc="0C09000B">
      <w:start w:val="1"/>
      <w:numFmt w:val="bullet"/>
      <w:lvlText w:val=""/>
      <w:lvlJc w:val="left"/>
      <w:pPr>
        <w:tabs>
          <w:tab w:val="num" w:pos="720"/>
        </w:tabs>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3"/>
  </w:num>
  <w:num w:numId="2">
    <w:abstractNumId w:val="5"/>
  </w:num>
  <w:num w:numId="3">
    <w:abstractNumId w:val="7"/>
  </w:num>
  <w:num w:numId="4">
    <w:abstractNumId w:val="9"/>
  </w:num>
  <w:num w:numId="5">
    <w:abstractNumId w:val="2"/>
  </w:num>
  <w:num w:numId="6">
    <w:abstractNumId w:val="4"/>
  </w:num>
  <w:num w:numId="7">
    <w:abstractNumId w:val="1"/>
  </w:num>
  <w:num w:numId="8">
    <w:abstractNumId w:val="8"/>
  </w:num>
  <w:num w:numId="9">
    <w:abstractNumId w:val="0"/>
  </w:num>
  <w:num w:numId="10">
    <w:abstractNumId w:val="10"/>
  </w:num>
  <w:num w:numId="11">
    <w:abstractNumId w:val="6"/>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E31"/>
    <w:rsid w:val="00122230"/>
    <w:rsid w:val="00185F63"/>
    <w:rsid w:val="00234DCD"/>
    <w:rsid w:val="00266D22"/>
    <w:rsid w:val="002702FF"/>
    <w:rsid w:val="002E2883"/>
    <w:rsid w:val="00403FFF"/>
    <w:rsid w:val="0047234A"/>
    <w:rsid w:val="005209A9"/>
    <w:rsid w:val="005601D4"/>
    <w:rsid w:val="005B09DD"/>
    <w:rsid w:val="005B3131"/>
    <w:rsid w:val="00843B94"/>
    <w:rsid w:val="00985DF6"/>
    <w:rsid w:val="00A457E8"/>
    <w:rsid w:val="00A557E8"/>
    <w:rsid w:val="00BD2B73"/>
    <w:rsid w:val="00BE02FB"/>
    <w:rsid w:val="00C068BE"/>
    <w:rsid w:val="00C07D68"/>
    <w:rsid w:val="00C863EE"/>
    <w:rsid w:val="00E30163"/>
    <w:rsid w:val="00ED2EC5"/>
    <w:rsid w:val="00EE3250"/>
    <w:rsid w:val="00F0197D"/>
    <w:rsid w:val="00F37C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0D611"/>
  <w15:chartTrackingRefBased/>
  <w15:docId w15:val="{5925D4F2-DCDC-F540-9079-005BD852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AU"/>
    </w:rPr>
  </w:style>
  <w:style w:type="paragraph" w:styleId="Heading1">
    <w:name w:val="heading 1"/>
    <w:basedOn w:val="Normal"/>
    <w:next w:val="Normal"/>
    <w:qFormat/>
    <w:pPr>
      <w:keepNext/>
      <w:jc w:val="center"/>
      <w:outlineLvl w:val="0"/>
    </w:pPr>
    <w:rPr>
      <w:rFonts w:ascii="Arial" w:hAnsi="Arial"/>
      <w:b/>
      <w:sz w:val="32"/>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Arial" w:hAnsi="Arial"/>
      <w:b/>
    </w:rPr>
  </w:style>
  <w:style w:type="paragraph" w:styleId="Header">
    <w:name w:val="header"/>
    <w:basedOn w:val="Normal"/>
    <w:rsid w:val="00ED37B0"/>
    <w:pPr>
      <w:tabs>
        <w:tab w:val="center" w:pos="4320"/>
        <w:tab w:val="right" w:pos="8640"/>
      </w:tabs>
    </w:pPr>
  </w:style>
  <w:style w:type="paragraph" w:styleId="Footer">
    <w:name w:val="footer"/>
    <w:basedOn w:val="Normal"/>
    <w:rsid w:val="00ED37B0"/>
    <w:pPr>
      <w:tabs>
        <w:tab w:val="center" w:pos="4320"/>
        <w:tab w:val="right" w:pos="8640"/>
      </w:tabs>
    </w:pPr>
  </w:style>
  <w:style w:type="character" w:styleId="PageNumber">
    <w:name w:val="page number"/>
    <w:basedOn w:val="DefaultParagraphFont"/>
    <w:rsid w:val="00ED3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4880</Characters>
  <Application>Microsoft Office Word</Application>
  <DocSecurity>0</DocSecurity>
  <Lines>143</Lines>
  <Paragraphs>87</Paragraphs>
  <ScaleCrop>false</ScaleCrop>
  <HeadingPairs>
    <vt:vector size="2" baseType="variant">
      <vt:variant>
        <vt:lpstr>Title</vt:lpstr>
      </vt:variant>
      <vt:variant>
        <vt:i4>1</vt:i4>
      </vt:variant>
    </vt:vector>
  </HeadingPairs>
  <TitlesOfParts>
    <vt:vector size="1" baseType="lpstr">
      <vt:lpstr> </vt:lpstr>
    </vt:vector>
  </TitlesOfParts>
  <Manager/>
  <Company>Flinders University</Company>
  <LinksUpToDate>false</LinksUpToDate>
  <CharactersWithSpaces>5699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SWMS recombinant adenovirus and lentivirus safety</dc:title>
  <dc:subject/>
  <dc:creator>Mick Booth</dc:creator>
  <cp:keywords/>
  <dc:description/>
  <cp:lastModifiedBy>Melissa Howarth</cp:lastModifiedBy>
  <cp:revision>2</cp:revision>
  <cp:lastPrinted>2015-04-01T05:20:00Z</cp:lastPrinted>
  <dcterms:created xsi:type="dcterms:W3CDTF">2019-08-23T02:29:00Z</dcterms:created>
  <dcterms:modified xsi:type="dcterms:W3CDTF">2019-08-23T02:29:00Z</dcterms:modified>
  <cp:category/>
</cp:coreProperties>
</file>