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8B3448" w:rsidR="008B3448" w:rsidRDefault="008B3448" w:rsidRPr="008B3448">
      <w:pPr>
        <w:spacing w:after="0"/>
        <w:jc w:val="center"/>
        <w:rPr>
          <w:rFonts w:ascii="Arial" w:cs="Arial" w:eastAsia="Calibri" w:hAnsi="Arial"/>
          <w:b/>
          <w:sz w:val="32"/>
          <w:szCs w:val="20"/>
          <w:lang w:val="en-GB"/>
        </w:rPr>
      </w:pPr>
      <w:bookmarkStart w:id="0" w:name="_GoBack"/>
      <w:bookmarkEnd w:id="0"/>
      <w:r w:rsidRPr="008B3448">
        <w:rPr>
          <w:rFonts w:ascii="Arial" w:cs="Arial" w:eastAsia="Calibri" w:hAnsi="Arial"/>
          <w:b/>
          <w:sz w:val="32"/>
          <w:szCs w:val="20"/>
          <w:lang w:val="en-GB"/>
        </w:rPr>
        <w:t>Individual Clinical Record Coversheet</w:t>
      </w:r>
    </w:p>
    <w:p w:rsidP="008B3448" w:rsidR="008B3448" w:rsidRDefault="008B3448" w:rsidRPr="008B3448">
      <w:pPr>
        <w:tabs>
          <w:tab w:pos="4513" w:val="center"/>
          <w:tab w:pos="8789" w:val="right"/>
        </w:tabs>
        <w:spacing w:after="0" w:before="120" w:line="240" w:lineRule="auto"/>
        <w:ind w:hanging="851" w:right="-709"/>
        <w:jc w:val="center"/>
        <w:rPr>
          <w:rFonts w:ascii="Arial" w:cs="Arial" w:eastAsia="Calibri" w:hAnsi="Arial"/>
          <w:sz w:val="16"/>
          <w:szCs w:val="16"/>
          <w:lang w:val="en-GB"/>
        </w:rPr>
      </w:pPr>
    </w:p>
    <w:tbl>
      <w:tblPr>
        <w:tblW w:type="auto" w:w="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2775"/>
        <w:gridCol w:w="6241"/>
      </w:tblGrid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Project Number</w:t>
            </w:r>
          </w:p>
        </w:tc>
        <w:tc>
          <w:tcPr>
            <w:tcW w:type="dxa" w:w="6372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Project Title</w:t>
            </w:r>
          </w:p>
        </w:tc>
        <w:tc>
          <w:tcPr>
            <w:tcW w:type="dxa" w:w="6372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Chief Investigator</w:t>
            </w:r>
          </w:p>
        </w:tc>
        <w:tc>
          <w:tcPr>
            <w:tcW w:type="dxa" w:w="6372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Monitoring Start Date /</w:t>
            </w:r>
          </w:p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Animal Issue Date</w:t>
            </w:r>
          </w:p>
        </w:tc>
        <w:tc>
          <w:tcPr>
            <w:tcW w:type="dxa" w:w="6372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</w:tbl>
    <w:p w:rsidP="008B3448" w:rsidR="008B3448" w:rsidRDefault="008B3448" w:rsidRPr="008B3448">
      <w:pPr>
        <w:spacing w:after="0"/>
        <w:rPr>
          <w:rFonts w:ascii="Arial Narrow" w:cs="Arial" w:eastAsia="Calibri" w:hAnsi="Arial Narrow"/>
          <w:b/>
          <w:sz w:val="28"/>
          <w:lang w:val="en-GB"/>
        </w:rPr>
      </w:pP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CONTACT DETAILS</w:t>
      </w:r>
    </w:p>
    <w:p w:rsidP="008B3448" w:rsidR="008B3448" w:rsidRDefault="008B3448" w:rsidRPr="008B3448">
      <w:pPr>
        <w:spacing w:after="0"/>
        <w:rPr>
          <w:rFonts w:ascii="Arial Narrow" w:cs="Arial" w:eastAsia="Calibri" w:hAnsi="Arial Narrow"/>
          <w:sz w:val="16"/>
          <w:szCs w:val="16"/>
          <w:lang w:val="en-GB"/>
        </w:rPr>
      </w:pPr>
    </w:p>
    <w:tbl>
      <w:tblPr>
        <w:tblW w:type="auto" w:w="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2765"/>
        <w:gridCol w:w="4158"/>
        <w:gridCol w:w="2093"/>
      </w:tblGrid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Contact Type</w:t>
            </w:r>
          </w:p>
        </w:tc>
        <w:tc>
          <w:tcPr>
            <w:tcW w:type="dxa" w:w="4246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Name</w:t>
            </w:r>
          </w:p>
        </w:tc>
        <w:tc>
          <w:tcPr>
            <w:tcW w:type="dxa" w:w="2126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Contact Number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Emergency Contact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Researcher (1)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Calibri" w:cs="Times New Roman" w:eastAsia="Calibri" w:hAnsi="Calibri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Researcher (2)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Calibri" w:cs="Times New Roman" w:eastAsia="Calibri" w:hAnsi="Calibri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Researcher (3)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Animal Facility Staff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Animal Welfare Officer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Lewis Vaughan</w:t>
            </w: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0450 424 143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Other (please specify)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</w:tbl>
    <w:p w:rsidP="008B3448" w:rsidR="008B3448" w:rsidRDefault="008B3448" w:rsidRPr="008B3448">
      <w:pPr>
        <w:spacing w:after="0"/>
        <w:rPr>
          <w:rFonts w:ascii="Arial Narrow" w:cs="Arial" w:eastAsia="Calibri" w:hAnsi="Arial Narrow"/>
          <w:b/>
          <w:sz w:val="28"/>
          <w:lang w:val="en-GB"/>
        </w:rPr>
      </w:pP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SPECIES / PHENOTYPE / MODEL ISSUES</w:t>
      </w:r>
    </w:p>
    <w:p w:rsidP="008B3448" w:rsidR="008B3448" w:rsidRDefault="008B3448" w:rsidRPr="008B3448">
      <w:pPr>
        <w:spacing w:after="0"/>
        <w:rPr>
          <w:rFonts w:ascii="Arial Narrow" w:cs="Arial" w:eastAsia="Calibri" w:hAnsi="Arial Narrow"/>
          <w:sz w:val="16"/>
          <w:szCs w:val="16"/>
          <w:lang w:val="en-GB"/>
        </w:rPr>
      </w:pPr>
    </w:p>
    <w:tbl>
      <w:tblPr>
        <w:tblW w:type="auto" w:w="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9016"/>
      </w:tblGrid>
      <w:tr w:rsidR="008B3448" w:rsidRPr="008B3448" w:rsidTr="004E2B7A">
        <w:trPr>
          <w:trHeight w:val="897"/>
          <w:jc w:val="center"/>
        </w:trPr>
        <w:tc>
          <w:tcPr>
            <w:tcW w:type="dxa" w:w="9180"/>
          </w:tcPr>
          <w:p w:rsidP="008B3448" w:rsidR="008B3448" w:rsidRDefault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</w:tbl>
    <w:p w:rsidP="008B3448" w:rsidR="008B3448" w:rsidRDefault="008B3448" w:rsidRPr="008B3448">
      <w:pPr>
        <w:tabs>
          <w:tab w:pos="720" w:val="left"/>
          <w:tab w:pos="1440" w:val="left"/>
          <w:tab w:pos="7485" w:val="left"/>
        </w:tabs>
        <w:spacing w:after="0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ab/>
      </w:r>
      <w:r w:rsidRPr="008B3448">
        <w:rPr>
          <w:rFonts w:ascii="Arial Narrow" w:cs="Arial" w:eastAsia="Calibri" w:hAnsi="Arial Narrow"/>
          <w:lang w:val="en-GB"/>
        </w:rPr>
        <w:tab/>
      </w:r>
      <w:r w:rsidRPr="008B3448">
        <w:rPr>
          <w:rFonts w:ascii="Arial Narrow" w:cs="Arial" w:eastAsia="Calibri" w:hAnsi="Arial Narrow"/>
          <w:lang w:val="en-GB"/>
        </w:rPr>
        <w:tab/>
      </w: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MONITORING CRITERIA</w:t>
      </w:r>
    </w:p>
    <w:p w:rsidP="008B3448" w:rsidR="008B3448" w:rsidRDefault="008B3448" w:rsidRPr="008B3448">
      <w:pPr>
        <w:spacing w:after="0"/>
        <w:rPr>
          <w:rFonts w:ascii="Arial Narrow" w:cs="Arial" w:eastAsia="Calibri" w:hAnsi="Arial Narrow"/>
          <w:sz w:val="16"/>
          <w:szCs w:val="16"/>
          <w:lang w:val="en-GB"/>
        </w:rPr>
      </w:pPr>
    </w:p>
    <w:tbl>
      <w:tblPr>
        <w:tblW w:type="dxa" w:w="10199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1034"/>
        <w:gridCol w:w="1938"/>
        <w:gridCol w:w="2107"/>
        <w:gridCol w:w="2760"/>
        <w:gridCol w:w="2360"/>
      </w:tblGrid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CRS Column #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 xml:space="preserve">Clinical Criteria 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No obvious deviation from normal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Slight or moderate deviation from normal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Significant or sustained deviation from normal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Score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0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1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2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1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Lack of, or abnormal movement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Active spontaneous free movement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Lack of spontaneous movement/hyperactivity/occasional ataxia /circling/dragging legs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Reduced movement on stimulation/frequent ataxia, circling, locomotion defects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2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Posture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Extended back, normal movement and gait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Slight arching on movement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Arched on movement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Ruffled coat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Smooth sleek coat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 xml:space="preserve">Slight ruffling 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Significant ruffling over entire coat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4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Abnormal breathing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Normal breathing in character and frequency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Increased respiratory rate or slight increased effort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Marked increase in respiratory rate with marked effort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5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Skin crinkling/tenting/sunken eyes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Soft, pliable, elastic, bright eyes (&gt; 75% open)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Skin crinkled, slight tenting when skin lifted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Skin tenting and sunken eyes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6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Injury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 xml:space="preserve"> No incision anomaly or evidence of injury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-</w:t>
            </w: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(Not scored – all significant injuries are to be reported to the AWO)</w:t>
            </w: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</w:tc>
        <w:tc>
          <w:tcPr>
            <w:tcW w:type="dxa" w:w="23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Significant injury/body cavity penetration/ skin excoriation ≥ 1 cm</w:t>
            </w:r>
            <w:r w:rsidRPr="008B3448">
              <w:rPr>
                <w:rFonts w:ascii="Arial Narrow" w:cs="Arial" w:eastAsia="Calibri" w:hAnsi="Arial Narrow"/>
                <w:sz w:val="20"/>
                <w:szCs w:val="20"/>
                <w:vertAlign w:val="superscript"/>
                <w:lang w:val="en-GB"/>
              </w:rPr>
              <w:t>2</w:t>
            </w: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 xml:space="preserve">/scratching/obvious swelling/ discharge/gaping wound </w:t>
            </w:r>
          </w:p>
        </w:tc>
      </w:tr>
      <w:tr w:rsidR="008B3448" w:rsidRPr="008B3448" w:rsidTr="004E2B7A">
        <w:trPr>
          <w:jc w:val="center"/>
        </w:trPr>
        <w:tc>
          <w:tcPr>
            <w:tcW w:type="dxa" w:w="10199"/>
            <w:gridSpan w:val="5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Optional additional criteria are shown below – These should be included if applicable to the project, or interchanged with project specific criteria. Example: tumour-scoring criteria for tumour studies.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7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Abnormal discharge from orifices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No discharges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Slight discharge (blood/pus etc) from any orifice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Significant discharge (blood/pus etc) from any orifice -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8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Profuse/bloody diarrhoea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Well-formed stools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Profuse with cage smeared with diarrhoea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 xml:space="preserve">Bloody &amp; profuse diarrhoea  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199"/>
            <w:gridSpan w:val="5"/>
            <w:shd w:color="auto" w:fill="FFFFF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Note: Training by the AWO or pictures or video footage of the monitoring criteria at the various scoring points is recommended to ensure all personnel are consistent in terms of scoring.</w:t>
            </w:r>
          </w:p>
        </w:tc>
      </w:tr>
    </w:tbl>
    <w:p w:rsidP="008B3448" w:rsidR="008B3448" w:rsidRDefault="008B3448" w:rsidRPr="008B3448">
      <w:pPr>
        <w:spacing w:after="0"/>
        <w:rPr>
          <w:rFonts w:ascii="Arial Narrow" w:cs="Arial" w:eastAsia="Calibri" w:hAnsi="Arial Narrow"/>
          <w:sz w:val="28"/>
          <w:lang w:val="en-GB"/>
        </w:rPr>
      </w:pP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MONITORING AND WEIGHING FREQUENCY</w:t>
      </w:r>
    </w:p>
    <w:p w:rsidP="008B3448" w:rsidR="008B3448" w:rsidRDefault="008B3448" w:rsidRPr="008B3448">
      <w:pPr>
        <w:spacing w:after="0"/>
        <w:ind w:left="360"/>
        <w:rPr>
          <w:rFonts w:ascii="Arial Narrow" w:cs="Arial" w:eastAsia="Calibri" w:hAnsi="Arial Narrow"/>
          <w:color w:val="808080"/>
          <w:sz w:val="20"/>
          <w:szCs w:val="20"/>
          <w:lang w:val="en-GB"/>
        </w:rPr>
      </w:pPr>
    </w:p>
    <w:tbl>
      <w:tblPr>
        <w:tblW w:type="auto" w:w="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16"/>
      </w:tblGrid>
      <w:tr w:rsidR="008B3448" w:rsidRPr="008B3448" w:rsidTr="004E2B7A">
        <w:trPr>
          <w:jc w:val="center"/>
        </w:trPr>
        <w:tc>
          <w:tcPr>
            <w:tcW w:type="dxa" w:w="9180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Describe monitoring regime.</w:t>
            </w:r>
          </w:p>
          <w:p w:rsidP="008B3448" w:rsidR="008B3448" w:rsidRDefault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  <w:p w:rsidP="008B3448" w:rsidR="00B8652A" w:rsidRDefault="00B8652A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</w:tbl>
    <w:p w:rsidP="008B3448" w:rsidR="008B3448" w:rsidRDefault="008B3448" w:rsidRPr="008B3448">
      <w:pPr>
        <w:spacing w:after="0"/>
        <w:rPr>
          <w:rFonts w:ascii="Arial Narrow" w:cs="Arial" w:eastAsia="Calibri" w:hAnsi="Arial Narrow"/>
          <w:b/>
          <w:sz w:val="28"/>
          <w:lang w:val="en-GB"/>
        </w:rPr>
      </w:pP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ACTIONS AND INTERVENTIONS</w:t>
      </w:r>
    </w:p>
    <w:p w:rsidP="008B3448" w:rsidR="008B3448" w:rsidRDefault="008B3448" w:rsidRPr="008B3448">
      <w:pPr>
        <w:spacing w:after="0"/>
        <w:rPr>
          <w:rFonts w:ascii="Arial Narrow" w:cs="Arial" w:eastAsia="Calibri" w:hAnsi="Arial Narrow"/>
          <w:b/>
          <w:sz w:val="20"/>
          <w:szCs w:val="20"/>
          <w:u w:val="single"/>
          <w:lang w:val="en-GB"/>
        </w:rPr>
      </w:pPr>
    </w:p>
    <w:tbl>
      <w:tblPr>
        <w:tblW w:type="dxa" w:w="918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838"/>
        <w:gridCol w:w="2523"/>
        <w:gridCol w:w="4819"/>
      </w:tblGrid>
      <w:tr w:rsidR="008B3448" w:rsidRPr="008B3448" w:rsidTr="008B3448">
        <w:trPr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ind w:left="-142" w:right="-108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Total Score</w:t>
            </w:r>
          </w:p>
        </w:tc>
        <w:tc>
          <w:tcPr>
            <w:tcW w:type="dxa" w:w="2523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Animal Assessment</w:t>
            </w:r>
          </w:p>
        </w:tc>
        <w:tc>
          <w:tcPr>
            <w:tcW w:type="dxa" w:w="4819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Actions/Interventions</w:t>
            </w:r>
          </w:p>
        </w:tc>
      </w:tr>
      <w:tr w:rsidR="008B3448" w:rsidRPr="008B3448" w:rsidTr="008B3448">
        <w:trPr>
          <w:trHeight w:val="44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0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Within normal limits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No interventions required.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1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Slight or moderate deviation from normal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/>
              <w:ind w:hanging="34" w:left="34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Provide analgesia if indicated, consult AWO if in doubt. Daily monitoring required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2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Moderate abnormality</w:t>
            </w:r>
          </w:p>
        </w:tc>
        <w:tc>
          <w:tcPr>
            <w:tcW w:type="dxa" w:w="4819"/>
          </w:tcPr>
          <w:p w:rsidP="00B8652A" w:rsidR="008B3448" w:rsidRDefault="008B3448" w:rsidRPr="00B865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04" w:left="204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B8652A">
              <w:rPr>
                <w:rFonts w:ascii="Arial Narrow" w:cs="Arial" w:eastAsia="Calibri" w:hAnsi="Arial Narrow"/>
                <w:color w:val="000000"/>
                <w:lang w:val="en-GB"/>
              </w:rPr>
              <w:t>Score 2 for any one criterion – consult AWO</w:t>
            </w:r>
            <w:r w:rsidR="00B8652A" w:rsidRPr="00B8652A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  <w:p w:rsidP="00B8652A" w:rsidR="008B3448" w:rsidRDefault="008B3448" w:rsidRPr="00B865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04" w:left="204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B8652A">
              <w:rPr>
                <w:rFonts w:ascii="Arial Narrow" w:cs="Arial" w:eastAsia="Calibri" w:hAnsi="Arial Narrow"/>
                <w:color w:val="000000"/>
                <w:lang w:val="en-GB"/>
              </w:rPr>
              <w:t>Cumulated score 2 – increase monitoring to twice daily</w:t>
            </w:r>
            <w:r w:rsidR="00B8652A" w:rsidRPr="00B8652A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3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Moderate/sustained abnormality in more than one criterion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Consult AWO, follow advice</w:t>
            </w:r>
            <w:r w:rsidR="00B8652A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Increase monitoring to three times daily</w:t>
            </w:r>
            <w:r w:rsidR="00B8652A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 xml:space="preserve">4 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Significant or sustained abnormality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Immediately euthanise or consult AWO and follow advice</w:t>
            </w:r>
            <w:r w:rsidR="00B8652A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  <w:p w:rsidP="00B8652A" w:rsidR="00B8652A" w:rsidRDefault="008B3448">
            <w:pPr>
              <w:numPr>
                <w:ilvl w:val="0"/>
                <w:numId w:val="3"/>
              </w:numPr>
              <w:spacing w:after="0" w:line="240" w:lineRule="auto"/>
              <w:ind w:hanging="141" w:left="175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Complete a Running Mortality Sheet.</w:t>
            </w:r>
          </w:p>
          <w:p w:rsidP="00B8652A" w:rsidR="008B3448" w:rsidRDefault="008B3448" w:rsidRPr="008B3448">
            <w:pPr>
              <w:numPr>
                <w:ilvl w:val="0"/>
                <w:numId w:val="3"/>
              </w:numPr>
              <w:spacing w:after="0" w:line="240" w:lineRule="auto"/>
              <w:ind w:hanging="141" w:left="175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If welfare compromise or mortality rates fall outside of approved conditions (section 3.7 of the application), an Unexpected Adverse Event (UAE) Report must be submitted.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5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Severe abnormality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Immediately euthanise the animal, unless contrary to veterinary advice.</w:t>
            </w:r>
          </w:p>
          <w:p w:rsidP="008B3448" w:rsidR="008B3448" w:rsidRDefault="008B3448" w:rsidRPr="008B344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Mortality and UAE reporting as for “4” above</w:t>
            </w:r>
            <w:r w:rsidR="00B8652A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</w:tc>
      </w:tr>
      <w:tr w:rsidR="008B3448" w:rsidRPr="008B3448" w:rsidTr="008B3448">
        <w:trPr>
          <w:trHeight w:val="341"/>
          <w:jc w:val="center"/>
        </w:trPr>
        <w:tc>
          <w:tcPr>
            <w:tcW w:type="dxa" w:w="9180"/>
            <w:gridSpan w:val="3"/>
            <w:shd w:color="auto" w:fill="FABF8F" w:val="clear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lastRenderedPageBreak/>
              <w:t>Absolute humane endpoint criteria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Laboured breathing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Animal exhibits respiratory distress – gasping, blue membranes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Body condition score (BCS) &lt; 2/5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BSC &lt; 2/5 signifies sharp vertebral processes, body is emaciated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Weight loss %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jc w:val="center"/>
              <w:rPr>
                <w:rFonts w:ascii="Arial Narrow" w:cs="Times New Roman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Times New Roman" w:eastAsia="Calibri" w:hAnsi="Arial Narrow"/>
                <w:color w:val="000000"/>
                <w:lang w:val="en-GB"/>
              </w:rPr>
              <w:t>Weight loss exceeds 10%, but is less the 15%</w:t>
            </w:r>
          </w:p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4819"/>
          </w:tcPr>
          <w:p w:rsidP="00B8652A" w:rsidR="008B3448" w:rsidRDefault="008B3448" w:rsidRPr="00B8652A">
            <w:pPr>
              <w:pStyle w:val="ListParagraph"/>
              <w:numPr>
                <w:ilvl w:val="0"/>
                <w:numId w:val="4"/>
              </w:numPr>
              <w:spacing w:after="120"/>
              <w:ind w:hanging="141" w:left="62"/>
              <w:contextualSpacing w:val="0"/>
              <w:rPr>
                <w:rFonts w:ascii="Arial Narrow" w:cs="Arial" w:eastAsia="Calibri" w:hAnsi="Arial Narrow"/>
                <w:lang w:val="en-GB"/>
              </w:rPr>
            </w:pPr>
            <w:r w:rsidRPr="00B8652A">
              <w:rPr>
                <w:rFonts w:ascii="Arial Narrow" w:cs="Arial" w:eastAsia="Calibri" w:hAnsi="Arial Narrow"/>
                <w:lang w:val="en-GB"/>
              </w:rPr>
              <w:t>Correct sipper water flow, give soaked food</w:t>
            </w:r>
            <w:r w:rsidR="00B8652A" w:rsidRPr="00B8652A">
              <w:rPr>
                <w:rFonts w:ascii="Arial Narrow" w:cs="Arial" w:eastAsia="Calibri" w:hAnsi="Arial Narrow"/>
                <w:lang w:val="en-GB"/>
              </w:rPr>
              <w:t>.</w:t>
            </w:r>
          </w:p>
          <w:p w:rsidP="00B8652A" w:rsidR="008B3448" w:rsidRDefault="008B3448" w:rsidRPr="00B8652A">
            <w:pPr>
              <w:pStyle w:val="ListParagraph"/>
              <w:numPr>
                <w:ilvl w:val="0"/>
                <w:numId w:val="4"/>
              </w:numPr>
              <w:spacing w:after="120"/>
              <w:ind w:hanging="141" w:left="62"/>
              <w:contextualSpacing w:val="0"/>
              <w:rPr>
                <w:rFonts w:ascii="Arial Narrow" w:cs="Arial" w:eastAsia="Calibri" w:hAnsi="Arial Narrow"/>
                <w:lang w:val="en-GB"/>
              </w:rPr>
            </w:pPr>
            <w:r w:rsidRPr="00B8652A">
              <w:rPr>
                <w:rFonts w:ascii="Arial Narrow" w:cs="Arial" w:eastAsia="Calibri" w:hAnsi="Arial Narrow"/>
                <w:lang w:val="en-GB"/>
              </w:rPr>
              <w:t>Increase monitoring frequency to twice daily.</w:t>
            </w:r>
          </w:p>
          <w:p w:rsidP="00B8652A" w:rsidR="008B3448" w:rsidRDefault="008B3448" w:rsidRPr="00B8652A">
            <w:pPr>
              <w:pStyle w:val="ListParagraph"/>
              <w:numPr>
                <w:ilvl w:val="0"/>
                <w:numId w:val="4"/>
              </w:numPr>
              <w:spacing w:after="120"/>
              <w:ind w:hanging="141" w:left="62"/>
              <w:contextualSpacing w:val="0"/>
              <w:rPr>
                <w:rFonts w:ascii="Arial Narrow" w:cs="Arial" w:eastAsia="Calibri" w:hAnsi="Arial Narrow"/>
                <w:lang w:val="en-GB"/>
              </w:rPr>
            </w:pPr>
            <w:r w:rsidRPr="00B8652A">
              <w:rPr>
                <w:rFonts w:ascii="Arial Narrow" w:cs="Arial" w:eastAsia="Calibri" w:hAnsi="Arial Narrow"/>
                <w:lang w:val="en-GB"/>
              </w:rPr>
              <w:t>Consult senior facility technician, notify the AWO depending on technician advice.</w:t>
            </w:r>
          </w:p>
          <w:p w:rsidP="00B8652A" w:rsidR="008B3448" w:rsidRDefault="008B3448" w:rsidRPr="00B8652A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hanging="141" w:left="62"/>
              <w:contextualSpacing w:val="0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B8652A">
              <w:rPr>
                <w:rFonts w:ascii="Arial Narrow" w:cs="Arial" w:eastAsia="Calibri" w:hAnsi="Arial Narrow"/>
                <w:lang w:val="en-GB"/>
              </w:rPr>
              <w:t>If 10% weight loss occurs within 24 hours then</w:t>
            </w:r>
            <w:r w:rsidR="00B8652A" w:rsidRPr="00B8652A">
              <w:rPr>
                <w:rFonts w:ascii="Arial Narrow" w:cs="Arial" w:eastAsia="Calibri" w:hAnsi="Arial Narrow"/>
                <w:lang w:val="en-GB"/>
              </w:rPr>
              <w:t xml:space="preserve"> consult AWO and follow advice.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Times New Roman" w:eastAsia="Calibri" w:hAnsi="Arial Narrow"/>
                <w:color w:val="000000"/>
                <w:lang w:val="en-GB"/>
              </w:rPr>
              <w:t>Weight loss exceeds 15% or 20% (depending on ethical approval)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ind w:left="34"/>
              <w:rPr>
                <w:rFonts w:ascii="Calibri" w:cs="Times New Roman" w:eastAsia="Calibri" w:hAnsi="Calibri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Adhere to conditions of ethical approval or consult AWO and follow advice or immediately humanely kill.</w:t>
            </w:r>
            <w:r w:rsidRPr="008B3448">
              <w:rPr>
                <w:rFonts w:ascii="Calibri" w:cs="Times New Roman" w:eastAsia="Calibri" w:hAnsi="Calibri"/>
                <w:lang w:val="en-GB"/>
              </w:rPr>
              <w:t xml:space="preserve"> </w:t>
            </w:r>
          </w:p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</w:tc>
      </w:tr>
      <w:tr w:rsidR="008B3448" w:rsidRPr="008B3448" w:rsidTr="008B3448">
        <w:trPr>
          <w:trHeight w:val="313"/>
          <w:jc w:val="center"/>
        </w:trPr>
        <w:tc>
          <w:tcPr>
            <w:tcW w:type="dxa" w:w="9180"/>
            <w:gridSpan w:val="3"/>
            <w:shd w:color="auto" w:fill="FABF8F" w:val="clear"/>
          </w:tcPr>
          <w:p w:rsidP="008B3448" w:rsidR="008B3448" w:rsidRDefault="008B3448" w:rsidRPr="008B3448">
            <w:pPr>
              <w:spacing w:after="0" w:line="240" w:lineRule="auto"/>
              <w:jc w:val="center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Other recommended project specific, criteria and actions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Mouse/Rat grimace score</w:t>
            </w:r>
          </w:p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(See illustration at end of document)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Mouse grimace “moderate” or “obvious” as per Matsumiya et al 2102, JAALAS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 xml:space="preserve">If within 48 hours of acute trauma administer pain relief. If beyond 48 hours consult AWO and follow advice. 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Tumour size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Ectopic subcutaneous tumour – one tumour or cumulative tumour burden of 1000 mm</w:t>
            </w:r>
            <w:r w:rsidRPr="008B3448">
              <w:rPr>
                <w:rFonts w:ascii="Arial Narrow" w:cs="Arial" w:eastAsia="Calibri" w:hAnsi="Arial Narrow"/>
                <w:vertAlign w:val="superscript"/>
                <w:lang w:val="en-GB"/>
              </w:rPr>
              <w:t>3</w:t>
            </w:r>
            <w:r w:rsidRPr="008B3448">
              <w:rPr>
                <w:rFonts w:ascii="Arial Narrow" w:cs="Arial" w:eastAsia="Calibri" w:hAnsi="Arial Narrow"/>
                <w:lang w:val="en-GB"/>
              </w:rPr>
              <w:t xml:space="preserve"> or greater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Consult AWO and follow advice. AWO to monitor as per ethical approval.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Tumour size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Ectopic subcutaneous tumours – one tumour or cumulative tumour burden, greater than 1688 mm</w:t>
            </w:r>
            <w:r w:rsidRPr="008B3448">
              <w:rPr>
                <w:rFonts w:ascii="Arial Narrow" w:cs="Arial" w:eastAsia="Calibri" w:hAnsi="Arial Narrow"/>
                <w:vertAlign w:val="superscript"/>
                <w:lang w:val="en-GB"/>
              </w:rPr>
              <w:t>3</w:t>
            </w:r>
            <w:r w:rsidRPr="008B3448">
              <w:rPr>
                <w:rFonts w:ascii="Arial Narrow" w:cs="Arial" w:eastAsia="Calibri" w:hAnsi="Arial Narrow"/>
                <w:lang w:val="en-GB"/>
              </w:rPr>
              <w:t xml:space="preserve"> as per Workman et al, 2010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ind w:left="34"/>
              <w:rPr>
                <w:rFonts w:ascii="Calibri" w:cs="Times New Roman" w:eastAsia="Calibri" w:hAnsi="Calibri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Follow conditions of ethical approval or consult and follow AWO advice.</w:t>
            </w:r>
            <w:r w:rsidRPr="008B3448">
              <w:rPr>
                <w:rFonts w:ascii="Calibri" w:cs="Times New Roman" w:eastAsia="Calibri" w:hAnsi="Calibri"/>
                <w:lang w:val="en-GB"/>
              </w:rPr>
              <w:t xml:space="preserve"> </w:t>
            </w:r>
          </w:p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Tumour ulceration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Times New Roman" w:eastAsia="Calibri" w:hAnsi="Arial Narrow"/>
                <w:lang w:val="en-GB"/>
              </w:rPr>
              <w:t>Wet tumour surface or bleeding evident which does not dry or scab within 6 hours or overnight/ accompanying signs of ulcer inflammation/ persistent scratching or cleaning by the mouse</w:t>
            </w:r>
          </w:p>
        </w:tc>
        <w:tc>
          <w:tcPr>
            <w:tcW w:type="dxa" w:w="4819"/>
          </w:tcPr>
          <w:p w:rsidP="00B8652A" w:rsidR="008B3448" w:rsidRDefault="008B3448" w:rsidRPr="00B865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204" w:left="204"/>
              <w:rPr>
                <w:rFonts w:ascii="Calibri" w:cs="Times New Roman" w:eastAsia="Calibri" w:hAnsi="Calibri"/>
                <w:lang w:val="en-GB"/>
              </w:rPr>
            </w:pPr>
            <w:r w:rsidRPr="00B8652A">
              <w:rPr>
                <w:rFonts w:ascii="Arial Narrow" w:cs="Arial" w:eastAsia="Calibri" w:hAnsi="Arial Narrow"/>
                <w:color w:val="000000"/>
                <w:lang w:val="en-GB"/>
              </w:rPr>
              <w:t>Adhere to conditions of ethical approval or consult AWO and follow advice or immediate euthanasia.</w:t>
            </w:r>
          </w:p>
          <w:p w:rsidP="00B8652A" w:rsidR="00B8652A" w:rsidRDefault="00B8652A" w:rsidRPr="00B8652A">
            <w:pPr>
              <w:pStyle w:val="ListParagraph"/>
              <w:spacing w:after="0" w:line="240" w:lineRule="auto"/>
              <w:ind w:left="204"/>
              <w:rPr>
                <w:rFonts w:ascii="Calibri" w:cs="Times New Roman" w:eastAsia="Calibri" w:hAnsi="Calibri"/>
                <w:lang w:val="en-GB"/>
              </w:rPr>
            </w:pPr>
          </w:p>
          <w:p w:rsidP="00B8652A" w:rsidR="008B3448" w:rsidRDefault="008B3448" w:rsidRPr="00B865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204" w:left="204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B8652A">
              <w:rPr>
                <w:rFonts w:ascii="Arial Narrow" w:cs="Arial" w:eastAsia="Calibri" w:hAnsi="Arial Narrow"/>
                <w:color w:val="000000"/>
                <w:lang w:val="en-GB"/>
              </w:rPr>
              <w:t>Complete a Running Mortality Sheet.</w:t>
            </w:r>
          </w:p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Tumour position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Times New Roman" w:eastAsia="Calibri" w:hAnsi="Arial Narrow"/>
                <w:lang w:val="en-GB"/>
              </w:rPr>
            </w:pPr>
            <w:r w:rsidRPr="008B3448">
              <w:rPr>
                <w:rFonts w:ascii="Arial Narrow" w:cs="Times New Roman" w:eastAsia="Calibri" w:hAnsi="Arial Narrow"/>
                <w:lang w:val="en-GB"/>
              </w:rPr>
              <w:t>Position of the tumour significantly impedes physiological function or locomotion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ind w:left="34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Consult AWO and follow advice. AWO to monitor as per ethical approval.</w:t>
            </w:r>
          </w:p>
        </w:tc>
      </w:tr>
      <w:tr w:rsidR="008B3448" w:rsidRPr="008B3448" w:rsidTr="004E2B7A">
        <w:trPr>
          <w:trHeight w:val="695"/>
          <w:jc w:val="center"/>
        </w:trPr>
        <w:tc>
          <w:tcPr>
            <w:tcW w:type="dxa" w:w="9180"/>
            <w:gridSpan w:val="3"/>
            <w:shd w:color="auto" w:fill="auto" w:val="clear"/>
          </w:tcPr>
          <w:p w:rsidP="008B3448" w:rsidR="008B3448" w:rsidRDefault="008B3448" w:rsidRPr="008B3448">
            <w:pPr>
              <w:spacing w:after="0" w:line="240" w:lineRule="auto"/>
              <w:ind w:left="34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Note: Weight loss in growing animals is calculated against pre-interventional weight, control animals or growth-charts. If growing animals fall below the bottom of the growth curve for the background strain as provided from the supplier, consult the AWO or humanely kill.</w:t>
            </w:r>
          </w:p>
        </w:tc>
      </w:tr>
    </w:tbl>
    <w:p w:rsidP="008B3448" w:rsidR="008B3448" w:rsidRDefault="008B3448" w:rsidRPr="008B3448">
      <w:pPr>
        <w:spacing w:after="0"/>
        <w:rPr>
          <w:rFonts w:ascii="Arial Narrow" w:cs="Arial" w:eastAsia="Calibri" w:hAnsi="Arial Narrow"/>
          <w:sz w:val="28"/>
          <w:lang w:val="en-GB"/>
        </w:rPr>
      </w:pP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INSTRUCTIONS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Each animal is examined at each nominated monitoring time point.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lastRenderedPageBreak/>
        <w:t>Each criteria is scored and the score marked on the record sheet. Training by the AWO is required to ensure all personnel are consistent in terms of scoring.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Scores are then added together and a total score is recorded on the record sheet.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Specific actions/interventions are undertaken in accordance with the clinical score.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Comments concerning abnormalities are recorded in the “Comments” section.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Any other abnormalities are recorded in the “Other” section.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Any abnormality that is of greater severity than the descriptions above, or is a major deviation from normal, beyond that approved, will require immediate consultation with the AWO or immediate euthanasia with submission of an Unexpected Adverse Event report.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Calibri" w:cs="Times New Roman" w:eastAsia="Calibri" w:hAnsi="Calibri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All unexpected adverse events must be reported immediately to the AWO and an Unexpected Adverse Event Report submitted to the Animal Ethics Officer.</w:t>
      </w:r>
    </w:p>
    <w:p w:rsidP="008B3448" w:rsidR="008B3448" w:rsidRDefault="008B3448" w:rsidRPr="008B3448">
      <w:pPr>
        <w:ind w:left="426"/>
        <w:rPr>
          <w:rFonts w:ascii="Arial Narrow" w:cs="Arial" w:eastAsia="Calibri" w:hAnsi="Arial Narrow"/>
          <w:b/>
          <w:sz w:val="28"/>
          <w:szCs w:val="28"/>
          <w:lang w:val="en-GB"/>
        </w:rPr>
      </w:pPr>
    </w:p>
    <w:p w:rsidP="008B3448" w:rsidR="008B3448" w:rsidRDefault="008B3448" w:rsidRPr="008B3448">
      <w:pPr>
        <w:ind w:left="426"/>
        <w:rPr>
          <w:rFonts w:ascii="Arial Narrow" w:cs="Arial" w:eastAsia="Calibri" w:hAnsi="Arial Narrow"/>
          <w:b/>
          <w:sz w:val="28"/>
          <w:szCs w:val="28"/>
          <w:lang w:val="en-GB"/>
        </w:rPr>
      </w:pPr>
      <w:r w:rsidRPr="008B3448">
        <w:rPr>
          <w:rFonts w:ascii="Arial Narrow" w:cs="Arial" w:eastAsia="Calibri" w:hAnsi="Arial Narrow"/>
          <w:b/>
          <w:sz w:val="28"/>
          <w:szCs w:val="28"/>
          <w:lang w:val="en-GB"/>
        </w:rPr>
        <w:t>Mouse grimace score</w:t>
      </w:r>
    </w:p>
    <w:p w:rsidP="008B3448" w:rsidR="008B3448" w:rsidRDefault="008B3448" w:rsidRPr="008B3448">
      <w:pPr>
        <w:ind w:left="426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noProof/>
          <w:lang w:eastAsia="en-AU"/>
        </w:rPr>
        <mc:AlternateContent>
          <mc:Choice Requires="wps">
            <w:drawing>
              <wp:anchor allowOverlap="1" behindDoc="0" distB="45720" distL="114300" distR="114300" distT="45720" layoutInCell="1" locked="0" relativeHeight="251659264" simplePos="0" wp14:anchorId="3E6E33E2" wp14:editId="24C935CD">
                <wp:simplePos x="0" y="0"/>
                <wp:positionH relativeFrom="column">
                  <wp:posOffset>3433445</wp:posOffset>
                </wp:positionH>
                <wp:positionV relativeFrom="paragraph">
                  <wp:posOffset>416560</wp:posOffset>
                </wp:positionV>
                <wp:extent cx="2838450" cy="804545"/>
                <wp:effectExtent b="14605" l="0" r="19050" t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8B3448" w:rsidR="008B3448" w:rsidRDefault="008B3448">
                            <w:r>
                              <w:t xml:space="preserve">From Matsumiya et al, 2012, Using the Mouse Grimace Scale to Re-evaluate the Efficacy of Postoperative </w:t>
                            </w:r>
                            <w:r>
                              <w:tab/>
                              <w:t xml:space="preserve">Analgesics in Laboratory Mice, </w:t>
                            </w:r>
                            <w:r w:rsidRPr="009021CE">
                              <w:rPr>
                                <w:i/>
                              </w:rPr>
                              <w:t>JAALAS</w:t>
                            </w:r>
                            <w:r>
                              <w:t>, Vol 51, No 1, January 2012, pp 42 - 49</w:t>
                            </w:r>
                          </w:p>
                          <w:p w:rsidP="008B3448" w:rsidR="008B3448" w:rsidRDefault="008B3448" w:rsidRPr="00AE36C5"/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3E6E33E2">
                <v:stroke joinstyle="miter"/>
                <v:path gradientshapeok="t" o:connecttype="rect"/>
              </v:shapetype>
              <v:shape id="Text Box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c+kBJwIAAE0EAAAOAAAAZHJzL2Uyb0RvYy54bWysVNtu2zAMfR+wfxD0vtjxnDU14hRdugwD ugvQ7gNkWY6FSaImKbG7ry8lp2l2exnmB0EUqaPDQ9Krq1ErchDOSzA1nc9ySoTh0Eqzq+nX++2r JSU+MNMyBUbU9EF4erV++WI12EoU0INqhSMIYnw12Jr2IdgqyzzvhWZ+BlYYdHbgNAtoul3WOjYg ulZZkedvsgFcax1w4T2e3kxOuk74XSd4+Nx1XgSiaorcQlpdWpu4ZusVq3aO2V7yIw32Dyw0kwYf PUHdsMDI3snfoLTkDjx0YcZBZ9B1kouUA2Yzz3/J5q5nVqRcUBxvTzL5/wfLPx2+OCLbmhbzC0oM 01ikezEG8hZGUkR9BusrDLuzGBhGPMY6p1y9vQX+zRMDm56Znbh2DoZesBb5zePN7OzqhOMjSDN8 hBafYfsACWjsnI7ioRwE0bFOD6faRCocD4vl62W5QBdH3zIvF+UiPcGqp9vW+fBegCZxU1OHtU/o 7HDrQ2TDqqeQ+JgHJdutVCoZbtdslCMHhn2yTd8R/acwZchQ08tFsZgE+CtEnr4/QWgZsOGV1DGL +MUgVkXZ3pk27QOTatojZWWOOkbpJhHD2IypZEnkqHED7QMK62Dqb5xH3PTgflAyYG/X1H/fMyco UR8MFudyXpZxGJJRLi4KNNy5pzn3MMMRqqaBkmm7CWmAIm0D11jETiZ9n5kcKWPPJtmP8xWH4txO Uc9/gfUjAAAA//8DAFBLAwQUAAYACAAAACEAMDwTj+AAAAAKAQAADwAAAGRycy9kb3ducmV2Lnht bEyPy07DMBBF90j8gzVIbFDr0EdexKkQEojuoEWwdWM3ibDHwXbT8PcMK1jOzNGdc6vNZA0btQ+9 QwG38wSYxsapHlsBb/vHWQ4sRIlKGodawLcOsKkvLypZKnfGVz3uYssoBEMpBXQxDiXnoem0lWHu Bo10OzpvZaTRt1x5eaZwa/giSVJuZY/0oZODfuh087k7WQH56nn8CNvly3uTHk0Rb7Lx6csLcX01 3d8Bi3qKfzD86pM61OR0cCdUgRkB61WSESogXafACCjyjBYHIovFEnhd8f8V6h8AAAD//wMAUEsB Ai0AFAAGAAgAAAAhALaDOJL+AAAA4QEAABMAAAAAAAAAAAAAAAAAAAAAAFtDb250ZW50X1R5cGVz XS54bWxQSwECLQAUAAYACAAAACEAOP0h/9YAAACUAQAACwAAAAAAAAAAAAAAAAAvAQAAX3JlbHMv LnJlbHNQSwECLQAUAAYACAAAACEAQXPpAScCAABNBAAADgAAAAAAAAAAAAAAAAAuAgAAZHJzL2Uy b0RvYy54bWxQSwECLQAUAAYACAAAACEAMDwTj+AAAAAKAQAADwAAAAAAAAAAAAAAAACBBAAAZHJz L2Rvd25yZXYueG1sUEsFBgAAAAAEAAQA8wAAAI4FAAAAAA== " o:spid="_x0000_s1026" style="position:absolute;left:0;text-align:left;margin-left:270.35pt;margin-top:32.8pt;width:223.5pt;height:6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:rsidP="008B3448" w:rsidR="008B3448" w:rsidRDefault="008B3448">
                      <w:r>
                        <w:t xml:space="preserve">From </w:t>
                      </w:r>
                      <w:proofErr w:type="spellStart"/>
                      <w:r>
                        <w:t>Matsumiya</w:t>
                      </w:r>
                      <w:proofErr w:type="spellEnd"/>
                      <w:r>
                        <w:t xml:space="preserve"> et al, 2012, </w:t>
                      </w:r>
                      <w:proofErr w:type="gramStart"/>
                      <w:r>
                        <w:t>Using</w:t>
                      </w:r>
                      <w:proofErr w:type="gramEnd"/>
                      <w:r>
                        <w:t xml:space="preserve"> the Mouse Grimace Scale to Re-evaluate the Efficacy of Postoperative </w:t>
                      </w:r>
                      <w:r>
                        <w:tab/>
                        <w:t xml:space="preserve">Analgesics in Laboratory Mice, </w:t>
                      </w:r>
                      <w:proofErr w:type="spellStart"/>
                      <w:r w:rsidRPr="009021CE">
                        <w:rPr>
                          <w:i/>
                        </w:rPr>
                        <w:t>JAALAS</w:t>
                      </w:r>
                      <w:proofErr w:type="spellEnd"/>
                      <w:r>
                        <w:t>, Vol 51, No 1, January 2012, pp 42 - 49</w:t>
                      </w:r>
                    </w:p>
                    <w:p w:rsidP="008B3448" w:rsidR="008B3448" w:rsidRDefault="008B3448" w:rsidRPr="00AE36C5"/>
                  </w:txbxContent>
                </v:textbox>
                <w10:wrap type="square"/>
              </v:shape>
            </w:pict>
          </mc:Fallback>
        </mc:AlternateContent>
      </w:r>
      <w:r w:rsidRPr="008B3448">
        <w:rPr>
          <w:rFonts w:ascii="Arial Narrow" w:cs="Arial" w:eastAsia="Calibri" w:hAnsi="Arial Narrow"/>
          <w:noProof/>
          <w:lang w:eastAsia="en-AU"/>
        </w:rPr>
        <w:drawing>
          <wp:inline distB="0" distL="0" distR="0" distT="0" wp14:anchorId="5621C500" wp14:editId="688F6E6F">
            <wp:extent cx="3028950" cy="1466850"/>
            <wp:effectExtent b="0" l="0" r="0" t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 from Matsumiya L JAALAS 2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B8652A" w:rsidR="008B3448" w:rsidRDefault="008B3448" w:rsidRPr="008B3448">
      <w:pPr>
        <w:rPr>
          <w:rFonts w:ascii="Calibri" w:cs="Times New Roman" w:eastAsia="Calibri" w:hAnsi="Calibri"/>
          <w:u w:val="single"/>
          <w:lang w:val="en-GB"/>
        </w:rPr>
      </w:pPr>
      <w:r w:rsidRPr="008B3448">
        <w:rPr>
          <w:rFonts w:ascii="Calibri" w:cs="Times New Roman" w:eastAsia="Calibri" w:hAnsi="Calibri"/>
          <w:lang w:val="en-GB"/>
        </w:rPr>
        <w:tab/>
      </w:r>
      <w:r w:rsidRPr="008B3448">
        <w:rPr>
          <w:rFonts w:ascii="Arial Narrow" w:cs="Times New Roman" w:eastAsia="Calibri" w:hAnsi="Arial Narrow"/>
          <w:noProof/>
          <w:sz w:val="20"/>
          <w:szCs w:val="20"/>
          <w:lang w:eastAsia="en-AU"/>
        </w:rPr>
        <w:drawing>
          <wp:anchor allowOverlap="1" behindDoc="0" distB="0" distL="114300" distR="114300" distT="0" layoutInCell="1" locked="0" relativeHeight="251661312" simplePos="0" wp14:anchorId="618C8591" wp14:editId="66ED056F">
            <wp:simplePos x="0" y="0"/>
            <wp:positionH relativeFrom="column">
              <wp:posOffset>-262255</wp:posOffset>
            </wp:positionH>
            <wp:positionV relativeFrom="paragraph">
              <wp:posOffset>83185</wp:posOffset>
            </wp:positionV>
            <wp:extent cx="3359150" cy="5170407"/>
            <wp:effectExtent b="0" l="0" r="0" t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517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8B3448" w:rsidR="008B3448" w:rsidRDefault="008B3448" w:rsidRPr="008B3448">
      <w:pPr>
        <w:ind w:left="567" w:right="567"/>
        <w:rPr>
          <w:rFonts w:ascii="Calibri" w:cs="Times New Roman" w:eastAsia="Calibri" w:hAnsi="Calibri"/>
          <w:u w:val="single"/>
          <w:lang w:val="en-GB"/>
        </w:rPr>
      </w:pPr>
    </w:p>
    <w:p w:rsidP="008B3448" w:rsidR="008B3448" w:rsidRDefault="008B3448" w:rsidRPr="008B3448">
      <w:pPr>
        <w:ind w:left="567" w:right="567"/>
        <w:rPr>
          <w:rFonts w:ascii="Calibri" w:cs="Times New Roman" w:eastAsia="Calibri" w:hAnsi="Calibri"/>
          <w:u w:val="single"/>
          <w:lang w:val="en-GB"/>
        </w:rPr>
      </w:pPr>
    </w:p>
    <w:p w:rsidP="008B3448" w:rsidR="008B3448" w:rsidRDefault="008B3448" w:rsidRPr="008B3448">
      <w:pPr>
        <w:ind w:left="567" w:right="567"/>
        <w:rPr>
          <w:rFonts w:ascii="Calibri" w:cs="Times New Roman" w:eastAsia="Calibri" w:hAnsi="Calibri"/>
          <w:u w:val="single"/>
          <w:lang w:val="en-GB"/>
        </w:rPr>
      </w:pPr>
    </w:p>
    <w:p w:rsidP="008B3448" w:rsidR="008B3448" w:rsidRDefault="008B3448" w:rsidRPr="008B3448">
      <w:pPr>
        <w:ind w:left="567" w:right="567"/>
        <w:rPr>
          <w:rFonts w:ascii="Calibri" w:cs="Times New Roman" w:eastAsia="Calibri" w:hAnsi="Calibri"/>
          <w:u w:val="single"/>
          <w:lang w:val="en-GB"/>
        </w:rPr>
      </w:pPr>
    </w:p>
    <w:p w:rsidR="007478BA" w:rsidRDefault="008B3448">
      <w:r w:rsidRPr="008B3448">
        <w:rPr>
          <w:rFonts w:ascii="Calibri" w:cs="Times New Roman" w:eastAsia="Calibri" w:hAnsi="Calibri"/>
          <w:noProof/>
          <w:u w:val="single"/>
          <w:lang w:eastAsia="en-AU"/>
        </w:rPr>
        <mc:AlternateContent>
          <mc:Choice Requires="wps">
            <w:drawing>
              <wp:anchor allowOverlap="1" behindDoc="0" distB="45720" distL="114300" distR="114300" distT="45720" layoutInCell="1" locked="0" relativeHeight="251660288" simplePos="0" wp14:anchorId="2DF65389" wp14:editId="5DEF6AEF">
                <wp:simplePos x="0" y="0"/>
                <wp:positionH relativeFrom="margin">
                  <wp:posOffset>3157220</wp:posOffset>
                </wp:positionH>
                <wp:positionV relativeFrom="paragraph">
                  <wp:posOffset>36195</wp:posOffset>
                </wp:positionV>
                <wp:extent cx="3114675" cy="467995"/>
                <wp:effectExtent b="27305" l="0" r="28575" t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8B3448" w:rsidR="008B3448" w:rsidRDefault="008B3448">
                            <w:r>
                              <w:t>From Ullman-Culler</w:t>
                            </w:r>
                            <w:r w:rsidRPr="008B3448">
                              <w:rPr>
                                <w:rFonts w:cs="Calibri"/>
                              </w:rPr>
                              <w:t>é</w:t>
                            </w:r>
                            <w:r>
                              <w:t xml:space="preserve"> M H and Foltz C J, 1999, Laboratory Animal Science, Vol 49, No 3, June 1999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gpwhIgIAAEQEAAAOAAAAZHJzL2Uyb0RvYy54bWysU9tu2zAMfR+wfxD0vjj2krYx4hRdugwD ugvQ7gNkWY6FSaImKbG7ry8lu1l2exmmB4EUqUPykFxfD1qRo3BegqloPptTIgyHRpp9Rb887F5d UeIDMw1TYERFH4Wn15uXL9a9LUUBHahGOIIgxpe9rWgXgi2zzPNOaOZnYIVBYwtOs4Cq22eNYz2i a5UV8/lF1oNrrAMuvMfX29FINwm/bQUPn9rWi0BURTG3kG6X7jre2WbNyr1jtpN8SoP9QxaaSYNB T1C3LDBycPI3KC25Aw9tmHHQGbSt5CLVgNXk81+que+YFakWJMfbE03+/8Hyj8fPjsimogUlhmls 0YMYAnkDAykiO731JTrdW3QLAz5jl1Ol3t4B/+qJgW3HzF7cOAd9J1iD2eXxZ3b2dcTxEaTuP0CD YdghQAIaWqcjdUgGQXTs0uOpMzEVjo+v83xxcbmkhKMNpdVqmUKw8vm3dT68E6BJFCrqsPMJnR3v fIjZsPLZJQbzoGSzk0olxe3rrXLkyHBKdulM6D+5KUP6iq6WxXIk4K8Q83T+BKFlwHFXUlf06uTE ykjbW9OkYQxMqlHGlJWZeIzUjSSGoR6mvtTQPCKjDsaxxjVEoQP3nZIeR7qi/tuBOUGJem+wK6t8 sYg7kJTF8rJAxZ1b6nMLMxyhKhooGcVtSHsTCTNwg91rZSI2tnnMZMoVRzXxPa1V3IVzPXn9WP7N EwAAAP//AwBQSwMEFAAGAAgAAAAhAJ0UlmLfAAAACAEAAA8AAABkcnMvZG93bnJldi54bWxMj8FO wzAQRO9I/IO1SFwQdSihTkKcCiGB6A0Kgqsbu0mEvQ62m4a/ZznBbVYzmnlbr2dn2WRCHDxKuFpk wAy2Xg/YSXh7fbgsgMWkUCvr0Uj4NhHWzelJrSrtj/hipm3qGJVgrJSEPqWx4jy2vXEqLvxokLy9 D04lOkPHdVBHKneWL7NsxZ0akBZ6NZr73rSf24OTUORP00fcXD+/t6u9LdOFmB6/gpTnZ/PdLbBk 5vQXhl98QoeGmHb+gDoyKyEvxZKiEm4EMPLLQpDYSRBlDryp+f8Hmh8AAAD//wMAUEsBAi0AFAAG AAgAAAAhALaDOJL+AAAA4QEAABMAAAAAAAAAAAAAAAAAAAAAAFtDb250ZW50X1R5cGVzXS54bWxQ SwECLQAUAAYACAAAACEAOP0h/9YAAACUAQAACwAAAAAAAAAAAAAAAAAvAQAAX3JlbHMvLnJlbHNQ SwECLQAUAAYACAAAACEAVIKcISICAABEBAAADgAAAAAAAAAAAAAAAAAuAgAAZHJzL2Uyb0RvYy54 bWxQSwECLQAUAAYACAAAACEAnRSWYt8AAAAIAQAADwAAAAAAAAAAAAAAAAB8BAAAZHJzL2Rvd25y ZXYueG1sUEsFBgAAAAAEAAQA8wAAAIgFAAAAAA== " style="position:absolute;margin-left:248.6pt;margin-top:2.85pt;width:245.25pt;height:3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2DF65389">
                <v:textbox>
                  <w:txbxContent>
                    <w:p w:rsidP="008B3448" w:rsidR="008B3448" w:rsidRDefault="008B3448">
                      <w:r>
                        <w:t>From Ullman-</w:t>
                      </w:r>
                      <w:proofErr w:type="spellStart"/>
                      <w:r>
                        <w:t>Culler</w:t>
                      </w:r>
                      <w:r w:rsidRPr="008B3448">
                        <w:rPr>
                          <w:rFonts w:cs="Calibri"/>
                        </w:rPr>
                        <w:t>é</w:t>
                      </w:r>
                      <w:proofErr w:type="spellEnd"/>
                      <w:r>
                        <w:t xml:space="preserve"> M H and Foltz C J, 1999, Laboratory Animal Science, Vol 49, No 3, June 1999</w:t>
                      </w:r>
                    </w:p>
                  </w:txbxContent>
                </v:textbox>
                <w10:wrap anchorx="margin" type="square"/>
              </v:shape>
            </w:pict>
          </mc:Fallback>
        </mc:AlternateContent>
      </w:r>
    </w:p>
    <w:sectPr w:rsidR="007478BA" w:rsidSect="00B8652A">
      <w:headerReference r:id="rId9" w:type="default"/>
      <w:footerReference r:id="rId10" w:type="default"/>
      <w:pgSz w:h="16838" w:w="11906"/>
      <w:pgMar w:bottom="1440" w:footer="708" w:gutter="0" w:header="708" w:left="1440" w:right="144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48" w:rsidRDefault="008B3448" w:rsidP="008B3448">
      <w:pPr>
        <w:spacing w:after="0" w:line="240" w:lineRule="auto"/>
      </w:pPr>
      <w:r>
        <w:separator/>
      </w:r>
    </w:p>
  </w:endnote>
  <w:endnote w:type="continuationSeparator" w:id="0">
    <w:p w:rsidR="008B3448" w:rsidRDefault="008B3448" w:rsidP="008B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P="00031E46" w:rsidR="008B3448" w:rsidRDefault="008B3448" w:rsidRPr="008B3448">
    <w:pPr>
      <w:pStyle w:val="Footer"/>
      <w:rPr>
        <w:rFonts w:ascii="Arial" w:cs="Arial" w:hAnsi="Arial"/>
        <w:sz w:val="16"/>
        <w:szCs w:val="16"/>
      </w:rPr>
    </w:pPr>
    <w:r w:rsidRPr="008B3448">
      <w:rPr>
        <w:rFonts w:ascii="Arial" w:cs="Arial" w:hAnsi="Arial"/>
        <w:sz w:val="16"/>
        <w:szCs w:val="16"/>
      </w:rPr>
      <w:t>Individual Clinical Record Coversheet</w:t>
    </w:r>
    <w:r w:rsidRPr="008B3448">
      <w:rPr>
        <w:rFonts w:ascii="Arial" w:cs="Arial" w:hAnsi="Arial"/>
        <w:sz w:val="16"/>
        <w:szCs w:val="16"/>
      </w:rPr>
      <w:tab/>
      <w:t xml:space="preserve"> </w:t>
    </w:r>
    <w:sdt>
      <w:sdtPr>
        <w:rPr>
          <w:rFonts w:ascii="Arial" w:cs="Arial" w:hAnsi="Arial"/>
          <w:sz w:val="16"/>
          <w:szCs w:val="16"/>
        </w:rPr>
        <w:id w:val="-749278033"/>
        <w:docPartObj>
          <w:docPartGallery w:val="Page Numbers (Top of Page)"/>
          <w:docPartUnique/>
        </w:docPartObj>
      </w:sdtPr>
      <w:sdtEndPr/>
      <w:sdtContent>
        <w:r w:rsidRPr="008B3448">
          <w:rPr>
            <w:rFonts w:ascii="Arial" w:cs="Arial" w:hAnsi="Arial"/>
            <w:sz w:val="16"/>
            <w:szCs w:val="16"/>
          </w:rPr>
          <w:tab/>
          <w:t xml:space="preserve">Page 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begin"/>
        </w:r>
        <w:r w:rsidRPr="008B3448">
          <w:rPr>
            <w:rFonts w:ascii="Arial" w:cs="Arial" w:hAnsi="Arial"/>
            <w:bCs/>
            <w:sz w:val="16"/>
            <w:szCs w:val="16"/>
          </w:rPr>
          <w:instrText xml:space="preserve"> PAGE </w:instrTex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separate"/>
        </w:r>
        <w:r w:rsidR="00073752">
          <w:rPr>
            <w:rFonts w:ascii="Arial" w:cs="Arial" w:hAnsi="Arial"/>
            <w:bCs/>
            <w:noProof/>
            <w:sz w:val="16"/>
            <w:szCs w:val="16"/>
          </w:rPr>
          <w:t>2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end"/>
        </w:r>
        <w:r w:rsidRPr="008B3448">
          <w:rPr>
            <w:rFonts w:ascii="Arial" w:cs="Arial" w:hAnsi="Arial"/>
            <w:sz w:val="16"/>
            <w:szCs w:val="16"/>
          </w:rPr>
          <w:t xml:space="preserve"> of 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begin"/>
        </w:r>
        <w:r w:rsidRPr="008B3448">
          <w:rPr>
            <w:rFonts w:ascii="Arial" w:cs="Arial" w:hAnsi="Arial"/>
            <w:bCs/>
            <w:sz w:val="16"/>
            <w:szCs w:val="16"/>
          </w:rPr>
          <w:instrText xml:space="preserve"> NUMPAGES  </w:instrTex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separate"/>
        </w:r>
        <w:r w:rsidR="00073752">
          <w:rPr>
            <w:rFonts w:ascii="Arial" w:cs="Arial" w:hAnsi="Arial"/>
            <w:bCs/>
            <w:noProof/>
            <w:sz w:val="16"/>
            <w:szCs w:val="16"/>
          </w:rPr>
          <w:t>4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end"/>
        </w:r>
      </w:sdtContent>
    </w:sdt>
  </w:p>
  <w:p w:rsidP="008B3448" w:rsidR="008B3448" w:rsidRDefault="008B3448" w:rsidRPr="008B3448">
    <w:pPr>
      <w:pStyle w:val="Footer"/>
      <w:spacing w:before="120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color w:val="464646"/>
        <w:sz w:val="16"/>
        <w:szCs w:val="16"/>
        <w:shd w:color="auto" w:fill="FFFFFF" w:val="clear"/>
      </w:rPr>
      <w:t>Clinical Record Coversheet and Recor</w:t>
    </w:r>
    <w:r>
      <w:rPr>
        <w:rFonts w:ascii="Arial" w:cs="Arial" w:hAnsi="Arial"/>
        <w:sz w:val="16"/>
        <w:szCs w:val="16"/>
        <w:shd w:color="auto" w:fill="FFFFFF" w:val="clear"/>
      </w:rPr>
      <w:t>d sheet adapted with the permission of The University of Western Australia, Office of Research Enterprise. [</w:t>
    </w:r>
    <w:r>
      <w:rPr>
        <w:rFonts w:ascii="Arial" w:cs="Arial" w:hAnsi="Arial"/>
        <w:sz w:val="16"/>
        <w:szCs w:val="16"/>
      </w:rPr>
      <w:t>“</w:t>
    </w:r>
    <w:r>
      <w:rPr>
        <w:rFonts w:ascii="Arial" w:cs="Arial" w:hAnsi="Arial"/>
        <w:sz w:val="16"/>
        <w:szCs w:val="16"/>
        <w:shd w:color="auto" w:fill="FFFFFF" w:val="clear"/>
      </w:rPr>
      <w:t xml:space="preserve">Monitoring Cover Sheet” at </w:t>
    </w:r>
    <w:hyperlink r:id="rId1" w:history="1">
      <w:r>
        <w:rPr>
          <w:rStyle w:val="Hyperlink"/>
          <w:rFonts w:ascii="Arial" w:cs="Arial" w:hAnsi="Arial"/>
          <w:sz w:val="16"/>
          <w:szCs w:val="16"/>
        </w:rPr>
        <w:t>http://www.research.uwa.edu.au/staff/forms/animals</w:t>
      </w:r>
    </w:hyperlink>
    <w:r>
      <w:rPr>
        <w:rFonts w:ascii="Arial" w:cs="Arial" w:hAnsi="Arial"/>
        <w:sz w:val="16"/>
        <w:szCs w:val="16"/>
      </w:rPr>
      <w:t>]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P="008B3448" w:rsidR="008B3448" w:rsidRDefault="008B3448">
      <w:pPr>
        <w:spacing w:after="0" w:line="240" w:lineRule="auto"/>
      </w:pPr>
      <w:r>
        <w:separator/>
      </w:r>
    </w:p>
  </w:footnote>
  <w:footnote w:id="0" w:type="continuationSeparator">
    <w:p w:rsidP="008B3448" w:rsidR="008B3448" w:rsidRDefault="008B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P="008B3448" w:rsidR="008B3448" w:rsidRDefault="008B3448" w:rsidRPr="008B3448">
    <w:pPr>
      <w:pStyle w:val="Header"/>
      <w:jc w:val="right"/>
      <w:rPr>
        <w:rFonts w:ascii="Arial" w:cs="Arial" w:hAnsi="Arial"/>
        <w:sz w:val="20"/>
      </w:rPr>
    </w:pPr>
    <w:r w:rsidRPr="008B3448">
      <w:rPr>
        <w:rFonts w:ascii="Arial" w:cs="Arial" w:hAnsi="Arial"/>
        <w:sz w:val="20"/>
      </w:rPr>
      <w:t>Version 1</w:t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15:restartNumberingAfterBreak="0" w:abstractNumId="0">
    <w:nsid w:val="32C56D9C"/>
    <w:multiLevelType w:val="hybridMultilevel"/>
    <w:tmpl w:val="586A7560"/>
    <w:lvl w:ilvl="0" w:tplc="5D4812FE">
      <w:start w:val="1"/>
      <w:numFmt w:val="decimal"/>
      <w:lvlText w:val="%1)"/>
      <w:lvlJc w:val="left"/>
      <w:pPr>
        <w:ind w:hanging="360" w:left="3382"/>
      </w:pPr>
      <w:rPr>
        <w:rFonts w:cs="Times New Roman" w:hint="default"/>
        <w:b/>
      </w:rPr>
    </w:lvl>
    <w:lvl w:ilvl="1" w:tplc="0C090019">
      <w:start w:val="1"/>
      <w:numFmt w:val="lowerLetter"/>
      <w:lvlText w:val="%2."/>
      <w:lvlJc w:val="left"/>
      <w:pPr>
        <w:ind w:hanging="360" w:left="4320"/>
      </w:pPr>
      <w:rPr>
        <w:rFonts w:cs="Times New Roman"/>
      </w:rPr>
    </w:lvl>
    <w:lvl w:ilvl="2" w:tentative="1" w:tplc="0C09001B">
      <w:start w:val="1"/>
      <w:numFmt w:val="lowerRoman"/>
      <w:lvlText w:val="%3."/>
      <w:lvlJc w:val="right"/>
      <w:pPr>
        <w:ind w:hanging="180" w:left="5040"/>
      </w:pPr>
      <w:rPr>
        <w:rFonts w:cs="Times New Roman"/>
      </w:rPr>
    </w:lvl>
    <w:lvl w:ilvl="3" w:tentative="1" w:tplc="0C09000F">
      <w:start w:val="1"/>
      <w:numFmt w:val="decimal"/>
      <w:lvlText w:val="%4."/>
      <w:lvlJc w:val="left"/>
      <w:pPr>
        <w:ind w:hanging="360" w:left="5760"/>
      </w:pPr>
      <w:rPr>
        <w:rFonts w:cs="Times New Roman"/>
      </w:rPr>
    </w:lvl>
    <w:lvl w:ilvl="4" w:tentative="1" w:tplc="0C090019">
      <w:start w:val="1"/>
      <w:numFmt w:val="lowerLetter"/>
      <w:lvlText w:val="%5."/>
      <w:lvlJc w:val="left"/>
      <w:pPr>
        <w:ind w:hanging="360" w:left="6480"/>
      </w:pPr>
      <w:rPr>
        <w:rFonts w:cs="Times New Roman"/>
      </w:rPr>
    </w:lvl>
    <w:lvl w:ilvl="5" w:tentative="1" w:tplc="0C09001B">
      <w:start w:val="1"/>
      <w:numFmt w:val="lowerRoman"/>
      <w:lvlText w:val="%6."/>
      <w:lvlJc w:val="right"/>
      <w:pPr>
        <w:ind w:hanging="180" w:left="7200"/>
      </w:pPr>
      <w:rPr>
        <w:rFonts w:cs="Times New Roman"/>
      </w:rPr>
    </w:lvl>
    <w:lvl w:ilvl="6" w:tentative="1" w:tplc="0C09000F">
      <w:start w:val="1"/>
      <w:numFmt w:val="decimal"/>
      <w:lvlText w:val="%7."/>
      <w:lvlJc w:val="left"/>
      <w:pPr>
        <w:ind w:hanging="360" w:left="7920"/>
      </w:pPr>
      <w:rPr>
        <w:rFonts w:cs="Times New Roman"/>
      </w:rPr>
    </w:lvl>
    <w:lvl w:ilvl="7" w:tentative="1" w:tplc="0C090019">
      <w:start w:val="1"/>
      <w:numFmt w:val="lowerLetter"/>
      <w:lvlText w:val="%8."/>
      <w:lvlJc w:val="left"/>
      <w:pPr>
        <w:ind w:hanging="360" w:left="8640"/>
      </w:pPr>
      <w:rPr>
        <w:rFonts w:cs="Times New Roman"/>
      </w:rPr>
    </w:lvl>
    <w:lvl w:ilvl="8" w:tentative="1" w:tplc="0C09001B">
      <w:start w:val="1"/>
      <w:numFmt w:val="lowerRoman"/>
      <w:lvlText w:val="%9."/>
      <w:lvlJc w:val="right"/>
      <w:pPr>
        <w:ind w:hanging="180" w:left="9360"/>
      </w:pPr>
      <w:rPr>
        <w:rFonts w:cs="Times New Roman"/>
      </w:rPr>
    </w:lvl>
  </w:abstractNum>
  <w:abstractNum w15:restartNumberingAfterBreak="0" w:abstractNumId="1">
    <w:nsid w:val="3A5461BE"/>
    <w:multiLevelType w:val="hybridMultilevel"/>
    <w:tmpl w:val="4A24D272"/>
    <w:lvl w:ilvl="0" w:tplc="0C090019">
      <w:start w:val="1"/>
      <w:numFmt w:val="lowerLetter"/>
      <w:lvlText w:val="%1."/>
      <w:lvlJc w:val="left"/>
      <w:pPr>
        <w:ind w:hanging="360" w:left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hanging="360" w:left="1440"/>
      </w:pPr>
      <w:rPr>
        <w:rFonts w:cs="Times New Roman"/>
      </w:r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  <w:rPr>
        <w:rFonts w:cs="Times New Roman"/>
      </w:rPr>
    </w:lvl>
    <w:lvl w:ilvl="3" w:tentative="1" w:tplc="0C09000F">
      <w:start w:val="1"/>
      <w:numFmt w:val="decimal"/>
      <w:lvlText w:val="%4."/>
      <w:lvlJc w:val="left"/>
      <w:pPr>
        <w:ind w:hanging="360" w:left="2880"/>
      </w:pPr>
      <w:rPr>
        <w:rFonts w:cs="Times New Roman"/>
      </w:r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  <w:rPr>
        <w:rFonts w:cs="Times New Roman"/>
      </w:r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  <w:rPr>
        <w:rFonts w:cs="Times New Roman"/>
      </w:rPr>
    </w:lvl>
    <w:lvl w:ilvl="6" w:tentative="1" w:tplc="0C09000F">
      <w:start w:val="1"/>
      <w:numFmt w:val="decimal"/>
      <w:lvlText w:val="%7."/>
      <w:lvlJc w:val="left"/>
      <w:pPr>
        <w:ind w:hanging="360" w:left="5040"/>
      </w:pPr>
      <w:rPr>
        <w:rFonts w:cs="Times New Roman"/>
      </w:r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  <w:rPr>
        <w:rFonts w:cs="Times New Roman"/>
      </w:r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  <w:rPr>
        <w:rFonts w:cs="Times New Roman"/>
      </w:rPr>
    </w:lvl>
  </w:abstractNum>
  <w:abstractNum w15:restartNumberingAfterBreak="0" w:abstractNumId="2">
    <w:nsid w:val="3B00297A"/>
    <w:multiLevelType w:val="hybridMultilevel"/>
    <w:tmpl w:val="E062B416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49906081"/>
    <w:multiLevelType w:val="hybridMultilevel"/>
    <w:tmpl w:val="1BB68ACE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5D060C12"/>
    <w:multiLevelType w:val="hybridMultilevel"/>
    <w:tmpl w:val="005ADD02"/>
    <w:lvl w:ilvl="0" w:tplc="0C090005">
      <w:start w:val="1"/>
      <w:numFmt w:val="bullet"/>
      <w:lvlText w:val=""/>
      <w:lvlJc w:val="left"/>
      <w:pPr>
        <w:ind w:hanging="360" w:left="720"/>
      </w:pPr>
      <w:rPr>
        <w:rFonts w:ascii="Wingdings" w:hAnsi="Wingdings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5">
    <w:nsid w:val="6A034499"/>
    <w:multiLevelType w:val="hybridMultilevel"/>
    <w:tmpl w:val="5562E1E2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75714F06"/>
    <w:multiLevelType w:val="hybridMultilevel"/>
    <w:tmpl w:val="B8FAF3CA"/>
    <w:lvl w:ilvl="0" w:tplc="0C090001">
      <w:start w:val="1"/>
      <w:numFmt w:val="bullet"/>
      <w:lvlText w:val=""/>
      <w:lvlJc w:val="left"/>
      <w:pPr>
        <w:ind w:hanging="360" w:left="754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74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94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914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34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54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74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94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51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48"/>
    <w:rsid w:val="00073752"/>
    <w:rsid w:val="005B0C91"/>
    <w:rsid w:val="007478BA"/>
    <w:rsid w:val="008B3448"/>
    <w:rsid w:val="00B8652A"/>
    <w:rsid w:val="00F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5:chartTrackingRefBased/>
  <w15:docId w15:val="{AE6C6BC1-7A1D-46E1-8F84-0698EC32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Footer" w:type="paragraph">
    <w:name w:val="footer"/>
    <w:basedOn w:val="Normal"/>
    <w:link w:val="FooterChar"/>
    <w:uiPriority w:val="99"/>
    <w:unhideWhenUsed/>
    <w:rsid w:val="008B3448"/>
    <w:pPr>
      <w:tabs>
        <w:tab w:pos="4513" w:val="center"/>
        <w:tab w:pos="9026" w:val="right"/>
      </w:tabs>
      <w:spacing w:after="0" w:line="240" w:lineRule="auto"/>
    </w:pPr>
    <w:rPr>
      <w:lang w:val="en-GB"/>
    </w:rPr>
  </w:style>
  <w:style w:customStyle="1" w:styleId="FooterChar" w:type="character">
    <w:name w:val="Footer Char"/>
    <w:basedOn w:val="DefaultParagraphFont"/>
    <w:link w:val="Footer"/>
    <w:uiPriority w:val="99"/>
    <w:rsid w:val="008B3448"/>
    <w:rPr>
      <w:lang w:val="en-GB"/>
    </w:rPr>
  </w:style>
  <w:style w:styleId="Header" w:type="paragraph">
    <w:name w:val="header"/>
    <w:basedOn w:val="Normal"/>
    <w:link w:val="HeaderChar"/>
    <w:uiPriority w:val="99"/>
    <w:unhideWhenUsed/>
    <w:rsid w:val="008B3448"/>
    <w:pPr>
      <w:tabs>
        <w:tab w:pos="4513" w:val="center"/>
        <w:tab w:pos="9026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8B3448"/>
  </w:style>
  <w:style w:styleId="Hyperlink" w:type="character">
    <w:name w:val="Hyperlink"/>
    <w:basedOn w:val="DefaultParagraphFont"/>
    <w:uiPriority w:val="99"/>
    <w:unhideWhenUsed/>
    <w:rsid w:val="008B3448"/>
    <w:rPr>
      <w:rFonts w:cs="Times New Roman"/>
      <w:color w:val="0000FF"/>
      <w:u w:val="single"/>
    </w:rPr>
  </w:style>
  <w:style w:styleId="ListParagraph" w:type="paragraph">
    <w:name w:val="List Paragraph"/>
    <w:basedOn w:val="Normal"/>
    <w:uiPriority w:val="34"/>
    <w:qFormat/>
    <w:rsid w:val="00B8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1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JPG" Type="http://schemas.openxmlformats.org/officeDocument/2006/relationships/image"/>
<Relationship Id="rId8" Target="media/image2.jpeg" Type="http://schemas.openxmlformats.org/officeDocument/2006/relationships/image"/>
<Relationship Id="rId9" Target="header1.xml" Type="http://schemas.openxmlformats.org/officeDocument/2006/relationships/header"/>
</Relationships>

</file>

<file path=word/_rels/footer1.xml.rels><?xml version="1.0" encoding="UTF-8" standalone="no"?>
<Relationships xmlns="http://schemas.openxmlformats.org/package/2006/relationships">
<Relationship Id="rId1" Target="http://www.research.uwa.edu.au/staff/forms/animal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2020-11-17T02:46:00Z</dcterms:created>
  <dc:creator>Alison Elder</dc:creator>
  <cp:lastModifiedBy>Alison Elder</cp:lastModifiedBy>
  <dcterms:modified xsi:type="dcterms:W3CDTF">2020-11-17T02:46:00Z</dcterms:modified>
  <cp:revision>2</cp:revision>
  <dc:title>Individual Clinical Record Coversheet</dc:title>
</cp:coreProperties>
</file>