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8B3448" w:rsidR="008B3448" w:rsidRDefault="008B3448" w:rsidRPr="008B3448">
      <w:pPr>
        <w:spacing w:after="0"/>
        <w:jc w:val="center"/>
        <w:rPr>
          <w:rFonts w:ascii="Arial" w:cs="Arial" w:eastAsia="Calibri" w:hAnsi="Arial"/>
          <w:b/>
          <w:sz w:val="32"/>
          <w:szCs w:val="20"/>
          <w:lang w:val="en-GB"/>
        </w:rPr>
      </w:pPr>
      <w:bookmarkStart w:id="0" w:name="_GoBack"/>
      <w:bookmarkEnd w:id="0"/>
      <w:r>
        <w:rPr>
          <w:rFonts w:ascii="Arial" w:cs="Arial" w:eastAsia="Calibri" w:hAnsi="Arial"/>
          <w:b/>
          <w:sz w:val="32"/>
          <w:szCs w:val="20"/>
          <w:lang w:val="en-GB"/>
        </w:rPr>
        <w:t xml:space="preserve">EXAMPLE </w:t>
      </w:r>
      <w:r w:rsidRPr="008B3448">
        <w:rPr>
          <w:rFonts w:ascii="Arial" w:cs="Arial" w:eastAsia="Calibri" w:hAnsi="Arial"/>
          <w:b/>
          <w:sz w:val="32"/>
          <w:szCs w:val="20"/>
          <w:lang w:val="en-GB"/>
        </w:rPr>
        <w:t>Individual Clinical Record Coversheet</w:t>
      </w:r>
    </w:p>
    <w:p w:rsidP="008B3448" w:rsidR="008B3448" w:rsidRDefault="008B3448" w:rsidRPr="008B3448">
      <w:pPr>
        <w:tabs>
          <w:tab w:pos="4513" w:val="center"/>
          <w:tab w:pos="8789" w:val="right"/>
        </w:tabs>
        <w:spacing w:after="0" w:before="120" w:line="240" w:lineRule="auto"/>
        <w:ind w:hanging="851" w:right="-709"/>
        <w:jc w:val="center"/>
        <w:rPr>
          <w:rFonts w:ascii="Arial" w:cs="Arial" w:eastAsia="Calibri" w:hAnsi="Arial"/>
          <w:sz w:val="16"/>
          <w:szCs w:val="16"/>
          <w:lang w:val="en-GB"/>
        </w:rPr>
      </w:pP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2775"/>
        <w:gridCol w:w="6241"/>
      </w:tblGrid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Project Number</w:t>
            </w:r>
          </w:p>
        </w:tc>
        <w:tc>
          <w:tcPr>
            <w:tcW w:type="dxa" w:w="6372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Project Title</w:t>
            </w:r>
          </w:p>
        </w:tc>
        <w:tc>
          <w:tcPr>
            <w:tcW w:type="dxa" w:w="6372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Chief Investigator</w:t>
            </w:r>
          </w:p>
        </w:tc>
        <w:tc>
          <w:tcPr>
            <w:tcW w:type="dxa" w:w="6372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Monitoring Start Date /</w:t>
            </w:r>
          </w:p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Animal Issue Date</w:t>
            </w:r>
          </w:p>
        </w:tc>
        <w:tc>
          <w:tcPr>
            <w:tcW w:type="dxa" w:w="6372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</w:tbl>
    <w:p w:rsidP="008B3448" w:rsidR="008B3448" w:rsidRDefault="008B3448" w:rsidRPr="008B3448">
      <w:pPr>
        <w:spacing w:after="0"/>
        <w:rPr>
          <w:rFonts w:ascii="Arial Narrow" w:cs="Arial" w:eastAsia="Calibri" w:hAnsi="Arial Narrow"/>
          <w:b/>
          <w:sz w:val="28"/>
          <w:lang w:val="en-GB"/>
        </w:rPr>
      </w:pP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CONTACT DETAILS</w:t>
      </w:r>
    </w:p>
    <w:p w:rsidP="008B3448" w:rsidR="008B3448" w:rsidRDefault="008B3448" w:rsidRPr="008B3448">
      <w:pPr>
        <w:spacing w:after="0"/>
        <w:rPr>
          <w:rFonts w:ascii="Arial Narrow" w:cs="Arial" w:eastAsia="Calibri" w:hAnsi="Arial Narrow"/>
          <w:sz w:val="16"/>
          <w:szCs w:val="16"/>
          <w:lang w:val="en-GB"/>
        </w:rPr>
      </w:pP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2765"/>
        <w:gridCol w:w="4158"/>
        <w:gridCol w:w="2093"/>
      </w:tblGrid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Contact Type</w:t>
            </w:r>
          </w:p>
        </w:tc>
        <w:tc>
          <w:tcPr>
            <w:tcW w:type="dxa" w:w="4246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Name</w:t>
            </w:r>
          </w:p>
        </w:tc>
        <w:tc>
          <w:tcPr>
            <w:tcW w:type="dxa" w:w="2126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Contact Number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Emergency Contact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Researcher (1)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Calibri" w:cs="Times New Roman" w:eastAsia="Calibri" w:hAnsi="Calibri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Researcher (2)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Calibri" w:cs="Times New Roman" w:eastAsia="Calibri" w:hAnsi="Calibri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Researcher (3)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Animal Facility Staff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Animal Welfare Officer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Lewis Vaughan</w:t>
            </w: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0450 424 143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280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Other (please specify)</w:t>
            </w:r>
          </w:p>
        </w:tc>
        <w:tc>
          <w:tcPr>
            <w:tcW w:type="dxa" w:w="424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2126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</w:tr>
    </w:tbl>
    <w:p w:rsidP="008B3448" w:rsidR="008B3448" w:rsidRDefault="008B3448" w:rsidRPr="008B3448">
      <w:pPr>
        <w:spacing w:after="0"/>
        <w:rPr>
          <w:rFonts w:ascii="Arial Narrow" w:cs="Arial" w:eastAsia="Calibri" w:hAnsi="Arial Narrow"/>
          <w:b/>
          <w:sz w:val="28"/>
          <w:lang w:val="en-GB"/>
        </w:rPr>
      </w:pP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SPECIES / PHENOTYPE / MODEL ISSUES</w:t>
      </w:r>
    </w:p>
    <w:p w:rsidP="008B3448" w:rsidR="008B3448" w:rsidRDefault="008B3448" w:rsidRPr="008B3448">
      <w:pPr>
        <w:spacing w:after="0"/>
        <w:rPr>
          <w:rFonts w:ascii="Arial Narrow" w:cs="Arial" w:eastAsia="Calibri" w:hAnsi="Arial Narrow"/>
          <w:sz w:val="16"/>
          <w:szCs w:val="16"/>
          <w:lang w:val="en-GB"/>
        </w:rPr>
      </w:pP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9016"/>
      </w:tblGrid>
      <w:tr w:rsidR="008B3448" w:rsidRPr="008B3448" w:rsidTr="004E2B7A">
        <w:trPr>
          <w:trHeight w:val="897"/>
          <w:jc w:val="center"/>
        </w:trPr>
        <w:tc>
          <w:tcPr>
            <w:tcW w:type="dxa" w:w="9180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i/>
                <w:lang w:val="en-GB"/>
              </w:rPr>
            </w:pPr>
            <w:r w:rsidRPr="008B3448">
              <w:rPr>
                <w:rFonts w:ascii="Arial Narrow" w:cs="Arial" w:eastAsia="Calibri" w:hAnsi="Arial Narrow"/>
                <w:i/>
                <w:lang w:val="en-GB"/>
              </w:rPr>
              <w:t>EXAMPLE: In NSG mice some ruffling of coat is normal</w:t>
            </w:r>
          </w:p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i/>
                <w:lang w:val="en-GB"/>
              </w:rPr>
              <w:t>EXAMPLE: Diarrhoea is expected during chemotherapy and is scored as normal if not profuse and blood or mucus is absent.</w:t>
            </w:r>
          </w:p>
        </w:tc>
      </w:tr>
    </w:tbl>
    <w:p w:rsidP="008B3448" w:rsidR="008B3448" w:rsidRDefault="008B3448" w:rsidRPr="008B3448">
      <w:pPr>
        <w:tabs>
          <w:tab w:pos="720" w:val="left"/>
          <w:tab w:pos="1440" w:val="left"/>
          <w:tab w:pos="7485" w:val="left"/>
        </w:tabs>
        <w:spacing w:after="0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ab/>
      </w:r>
      <w:r w:rsidRPr="008B3448">
        <w:rPr>
          <w:rFonts w:ascii="Arial Narrow" w:cs="Arial" w:eastAsia="Calibri" w:hAnsi="Arial Narrow"/>
          <w:lang w:val="en-GB"/>
        </w:rPr>
        <w:tab/>
      </w:r>
      <w:r w:rsidRPr="008B3448">
        <w:rPr>
          <w:rFonts w:ascii="Arial Narrow" w:cs="Arial" w:eastAsia="Calibri" w:hAnsi="Arial Narrow"/>
          <w:lang w:val="en-GB"/>
        </w:rPr>
        <w:tab/>
      </w: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MONITORING CRITERIA</w:t>
      </w:r>
    </w:p>
    <w:p w:rsidP="008B3448" w:rsidR="008B3448" w:rsidRDefault="008B3448" w:rsidRPr="008B3448">
      <w:pPr>
        <w:spacing w:after="0"/>
        <w:rPr>
          <w:rFonts w:ascii="Arial Narrow" w:cs="Arial" w:eastAsia="Calibri" w:hAnsi="Arial Narrow"/>
          <w:sz w:val="16"/>
          <w:szCs w:val="16"/>
          <w:lang w:val="en-GB"/>
        </w:rPr>
      </w:pPr>
    </w:p>
    <w:tbl>
      <w:tblPr>
        <w:tblW w:type="dxa" w:w="10199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1034"/>
        <w:gridCol w:w="1938"/>
        <w:gridCol w:w="2107"/>
        <w:gridCol w:w="2760"/>
        <w:gridCol w:w="2360"/>
      </w:tblGrid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CRS Column #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 xml:space="preserve">Clinical Criteria 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No obvious deviation from normal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Slight or moderate deviation from normal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Significant or sustained deviation from normal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Score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0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1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2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1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Lack of, or abnormal movement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Active spontaneous free movement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Lack of spontaneous movement/hyperactivity/occasional ataxia /circling/dragging legs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Reduced movement on stimulation/frequent ataxia, circling, locomotion defects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2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Posture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Extended back, normal movement and gait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Slight arching on movement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Arched on movement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Ruffled coat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Smooth sleek coat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 xml:space="preserve">Slight ruffling 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Significant ruffling over entire coat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4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Abnormal breathing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Normal breathing in character and frequency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Increased respiratory rate or slight increased effort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Marked increase in respiratory rate with marked effort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5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Skin crinkling/tenting/sunken eyes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Soft, pliable, elastic, bright eyes (&gt; 75% open)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Skin crinkled, slight tenting when skin lifted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Skin tenting and sunken eyes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6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Injury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 xml:space="preserve"> No incision anomaly or evidence of injury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-</w:t>
            </w: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lastRenderedPageBreak/>
              <w:t>(Not scored – all significant injuries are to be reported to the AWO)</w:t>
            </w: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</w:tc>
        <w:tc>
          <w:tcPr>
            <w:tcW w:type="dxa" w:w="23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lastRenderedPageBreak/>
              <w:t>Significant injury/body cavity penetration/ skin excoriation ≥ 1 cm</w:t>
            </w:r>
            <w:r w:rsidRPr="008B3448">
              <w:rPr>
                <w:rFonts w:ascii="Arial Narrow" w:cs="Arial" w:eastAsia="Calibri" w:hAnsi="Arial Narrow"/>
                <w:sz w:val="20"/>
                <w:szCs w:val="20"/>
                <w:vertAlign w:val="superscript"/>
                <w:lang w:val="en-GB"/>
              </w:rPr>
              <w:t>2</w:t>
            </w: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 xml:space="preserve">/scratching/obvious </w:t>
            </w: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lastRenderedPageBreak/>
              <w:t xml:space="preserve">swelling/ discharge/gaping wound </w:t>
            </w:r>
          </w:p>
        </w:tc>
      </w:tr>
      <w:tr w:rsidR="008B3448" w:rsidRPr="008B3448" w:rsidTr="004E2B7A">
        <w:trPr>
          <w:jc w:val="center"/>
        </w:trPr>
        <w:tc>
          <w:tcPr>
            <w:tcW w:type="dxa" w:w="10199"/>
            <w:gridSpan w:val="5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lastRenderedPageBreak/>
              <w:t>Optional additional criteria are shown below – These should be included if applicable to the project, or interchanged with project specific criteria. Example: tumour-scoring criteria for tumour studies.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7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Abnormal discharge from orifices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No discharges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Slight discharge (blood/pus etc) from any orifice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Significant discharge (blood/pus etc) from any orifice -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34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</w:p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8</w:t>
            </w:r>
          </w:p>
        </w:tc>
        <w:tc>
          <w:tcPr>
            <w:tcW w:type="dxa" w:w="1938"/>
            <w:shd w:color="auto" w:fill="FABF8F" w:val="clear"/>
          </w:tcPr>
          <w:p w:rsidP="008B3448" w:rsidR="008B3448" w:rsidRDefault="008B3448" w:rsidRPr="008B3448">
            <w:pPr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Profuse/bloody diarrhoea</w:t>
            </w:r>
          </w:p>
        </w:tc>
        <w:tc>
          <w:tcPr>
            <w:tcW w:type="dxa" w:w="2107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Well-formed stools</w:t>
            </w:r>
          </w:p>
        </w:tc>
        <w:tc>
          <w:tcPr>
            <w:tcW w:type="dxa" w:w="27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>Profuse with cage smeared with diarrhoea</w:t>
            </w:r>
          </w:p>
        </w:tc>
        <w:tc>
          <w:tcPr>
            <w:tcW w:type="dxa" w:w="2360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sz w:val="20"/>
                <w:szCs w:val="20"/>
                <w:lang w:val="en-GB"/>
              </w:rPr>
            </w:pPr>
            <w:r w:rsidRPr="008B3448">
              <w:rPr>
                <w:rFonts w:ascii="Arial Narrow" w:cs="Arial" w:eastAsia="Calibri" w:hAnsi="Arial Narrow"/>
                <w:sz w:val="20"/>
                <w:szCs w:val="20"/>
                <w:lang w:val="en-GB"/>
              </w:rPr>
              <w:t xml:space="preserve">Bloody &amp; profuse diarrhoea  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0199"/>
            <w:gridSpan w:val="5"/>
            <w:shd w:color="auto" w:fill="FFFFF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Note: Training by the AWO or pictures or video footage of the monitoring criteria at the various scoring points is recommended to ensure all personnel are consistent in terms of scoring.</w:t>
            </w:r>
          </w:p>
        </w:tc>
      </w:tr>
    </w:tbl>
    <w:p w:rsidP="008B3448" w:rsidR="008B3448" w:rsidRDefault="008B3448" w:rsidRPr="008B3448">
      <w:pPr>
        <w:spacing w:after="0"/>
        <w:rPr>
          <w:rFonts w:ascii="Arial Narrow" w:cs="Arial" w:eastAsia="Calibri" w:hAnsi="Arial Narrow"/>
          <w:sz w:val="28"/>
          <w:lang w:val="en-GB"/>
        </w:rPr>
      </w:pP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MONITORING AND WEIGHING FREQUENCY</w:t>
      </w:r>
    </w:p>
    <w:p w:rsidP="008B3448" w:rsidR="008B3448" w:rsidRDefault="008B3448" w:rsidRPr="008B3448">
      <w:pPr>
        <w:spacing w:after="0"/>
        <w:ind w:left="360"/>
        <w:rPr>
          <w:rFonts w:ascii="Arial Narrow" w:cs="Arial" w:eastAsia="Calibri" w:hAnsi="Arial Narrow"/>
          <w:color w:val="808080"/>
          <w:sz w:val="20"/>
          <w:szCs w:val="20"/>
          <w:lang w:val="en-GB"/>
        </w:rPr>
      </w:pPr>
    </w:p>
    <w:tbl>
      <w:tblPr>
        <w:tblW w:type="auto" w:w="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16"/>
      </w:tblGrid>
      <w:tr w:rsidR="008B3448" w:rsidRPr="008B3448" w:rsidTr="004E2B7A">
        <w:trPr>
          <w:jc w:val="center"/>
        </w:trPr>
        <w:tc>
          <w:tcPr>
            <w:tcW w:type="dxa" w:w="9180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Describe monitoring regime.</w:t>
            </w:r>
          </w:p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i/>
                <w:lang w:val="en-GB"/>
              </w:rPr>
              <w:t>All animals receiving procedures will be clinically assessed, using individual CRSs, 2 hours after anaesthetic recovery, at the end of the day, then twice daily for 2 days, then once daily for 5 days. If no clinical scores are observed the animal will be transferred to daily maintenance monitoring. Animals are to be weighed on the third day after surgery and then once weekly.</w:t>
            </w:r>
          </w:p>
        </w:tc>
      </w:tr>
    </w:tbl>
    <w:p w:rsidP="008B3448" w:rsidR="008B3448" w:rsidRDefault="008B3448" w:rsidRPr="008B3448">
      <w:pPr>
        <w:spacing w:after="0"/>
        <w:rPr>
          <w:rFonts w:ascii="Arial Narrow" w:cs="Arial" w:eastAsia="Calibri" w:hAnsi="Arial Narrow"/>
          <w:b/>
          <w:sz w:val="28"/>
          <w:lang w:val="en-GB"/>
        </w:rPr>
      </w:pP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ACTIONS AND INTERVENTIONS</w:t>
      </w:r>
    </w:p>
    <w:p w:rsidP="008B3448" w:rsidR="008B3448" w:rsidRDefault="008B3448" w:rsidRPr="008B3448">
      <w:pPr>
        <w:spacing w:after="0"/>
        <w:rPr>
          <w:rFonts w:ascii="Arial Narrow" w:cs="Arial" w:eastAsia="Calibri" w:hAnsi="Arial Narrow"/>
          <w:b/>
          <w:sz w:val="20"/>
          <w:szCs w:val="20"/>
          <w:u w:val="single"/>
          <w:lang w:val="en-GB"/>
        </w:rPr>
      </w:pPr>
    </w:p>
    <w:tbl>
      <w:tblPr>
        <w:tblW w:type="dxa" w:w="918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838"/>
        <w:gridCol w:w="2523"/>
        <w:gridCol w:w="4819"/>
      </w:tblGrid>
      <w:tr w:rsidR="008B3448" w:rsidRPr="008B3448" w:rsidTr="008B3448">
        <w:trPr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ind w:left="-142" w:right="-108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Total Score</w:t>
            </w:r>
          </w:p>
        </w:tc>
        <w:tc>
          <w:tcPr>
            <w:tcW w:type="dxa" w:w="2523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Animal Assessment</w:t>
            </w:r>
          </w:p>
        </w:tc>
        <w:tc>
          <w:tcPr>
            <w:tcW w:type="dxa" w:w="4819"/>
            <w:shd w:color="auto" w:fill="FABF8F" w:val="clear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Actions/Interventions</w:t>
            </w:r>
          </w:p>
        </w:tc>
      </w:tr>
      <w:tr w:rsidR="008B3448" w:rsidRPr="008B3448" w:rsidTr="008B3448">
        <w:trPr>
          <w:trHeight w:val="44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0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Within normal limits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No interventions required.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1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Slight or moderate deviation from normal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/>
              <w:ind w:hanging="34" w:left="34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Provide analgesia if indicated, consult AWO if in doubt. Daily monitoring required</w:t>
            </w:r>
            <w:r w:rsidR="0050393B">
              <w:rPr>
                <w:rFonts w:ascii="Arial Narrow" w:cs="Arial" w:eastAsia="Calibri" w:hAnsi="Arial Narrow"/>
                <w:lang w:val="en-GB"/>
              </w:rPr>
              <w:t>.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2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Moderate abnormality</w:t>
            </w:r>
          </w:p>
        </w:tc>
        <w:tc>
          <w:tcPr>
            <w:tcW w:type="dxa" w:w="4819"/>
          </w:tcPr>
          <w:p w:rsidP="0050393B" w:rsidR="008B3448" w:rsidRDefault="008B3448" w:rsidRPr="005039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204" w:left="204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50393B">
              <w:rPr>
                <w:rFonts w:ascii="Arial Narrow" w:cs="Arial" w:eastAsia="Calibri" w:hAnsi="Arial Narrow"/>
                <w:color w:val="000000"/>
                <w:lang w:val="en-GB"/>
              </w:rPr>
              <w:t>Score 2 for any one criterion – consult AWO</w:t>
            </w:r>
            <w:r w:rsidR="0050393B" w:rsidRPr="0050393B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  <w:p w:rsidP="0050393B" w:rsidR="008B3448" w:rsidRDefault="008B3448" w:rsidRPr="005039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204" w:left="204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50393B">
              <w:rPr>
                <w:rFonts w:ascii="Arial Narrow" w:cs="Arial" w:eastAsia="Calibri" w:hAnsi="Arial Narrow"/>
                <w:color w:val="000000"/>
                <w:lang w:val="en-GB"/>
              </w:rPr>
              <w:t>Cumulated score 2 – increase monitoring to twice daily</w:t>
            </w:r>
            <w:r w:rsidR="0050393B" w:rsidRPr="0050393B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</w:tc>
      </w:tr>
      <w:tr w:rsidR="008B3448" w:rsidRPr="008B3448" w:rsidTr="008B3448">
        <w:trPr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3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Moderate/sustained abnormality in more than one criterion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Consult AWO, follow advice</w:t>
            </w:r>
            <w:r w:rsidR="0050393B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Increase monitoring to three times daily</w:t>
            </w:r>
            <w:r w:rsidR="0050393B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 xml:space="preserve">4 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Significant or sustained abnormality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Immediately euthanise or consult AWO and follow advice</w:t>
            </w:r>
            <w:r w:rsidR="0050393B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  <w:p w:rsidP="0050393B" w:rsidR="0050393B" w:rsidRDefault="008B3448">
            <w:pPr>
              <w:numPr>
                <w:ilvl w:val="0"/>
                <w:numId w:val="3"/>
              </w:numPr>
              <w:spacing w:after="0" w:line="240" w:lineRule="auto"/>
              <w:ind w:hanging="141" w:left="175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Complete a Running Mortality Sheet.</w:t>
            </w:r>
          </w:p>
          <w:p w:rsidP="0050393B" w:rsidR="008B3448" w:rsidRDefault="008B3448" w:rsidRPr="0050393B">
            <w:pPr>
              <w:numPr>
                <w:ilvl w:val="0"/>
                <w:numId w:val="3"/>
              </w:numPr>
              <w:spacing w:after="0" w:line="240" w:lineRule="auto"/>
              <w:ind w:hanging="141" w:left="175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50393B">
              <w:rPr>
                <w:rFonts w:ascii="Arial Narrow" w:cs="Arial" w:eastAsia="Calibri" w:hAnsi="Arial Narrow"/>
                <w:color w:val="000000"/>
                <w:lang w:val="en-GB"/>
              </w:rPr>
              <w:t>If welfare compromise or mortality rates fall outside of approved conditions (section 3.7 of the application), an Unexpected Adverse Event (UAE) Report must be submitted.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5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Severe abnormality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 xml:space="preserve">Immediately euthanise the animal, unless </w:t>
            </w:r>
            <w:r w:rsidR="0050393B">
              <w:rPr>
                <w:rFonts w:ascii="Arial Narrow" w:cs="Arial" w:eastAsia="Calibri" w:hAnsi="Arial Narrow"/>
                <w:color w:val="000000"/>
                <w:lang w:val="en-GB"/>
              </w:rPr>
              <w:t>contrary to veterinary advice.</w:t>
            </w:r>
          </w:p>
          <w:p w:rsidP="008B3448" w:rsidR="008B3448" w:rsidRDefault="008B3448" w:rsidRPr="008B344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Mortality and UAE reporting as for “4” above</w:t>
            </w:r>
            <w:r w:rsidR="0050393B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</w:tc>
      </w:tr>
      <w:tr w:rsidR="008B3448" w:rsidRPr="008B3448" w:rsidTr="008B3448">
        <w:trPr>
          <w:trHeight w:val="341"/>
          <w:jc w:val="center"/>
        </w:trPr>
        <w:tc>
          <w:tcPr>
            <w:tcW w:type="dxa" w:w="9180"/>
            <w:gridSpan w:val="3"/>
            <w:shd w:color="auto" w:fill="FABF8F" w:val="clear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Absolute humane endpoint criteria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Laboured breathing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Animal exhibits respiratory distress – gasping, blue membranes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lastRenderedPageBreak/>
              <w:t>Body condition score (BCS) &lt; 2/5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BSC &lt; 2/5 signifies sharp vertebral processes, body is emaciated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Weight loss %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jc w:val="center"/>
              <w:rPr>
                <w:rFonts w:ascii="Arial Narrow" w:cs="Times New Roman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Times New Roman" w:eastAsia="Calibri" w:hAnsi="Arial Narrow"/>
                <w:color w:val="000000"/>
                <w:lang w:val="en-GB"/>
              </w:rPr>
              <w:t>Weight loss exceeds 10%, but is less the 15%</w:t>
            </w:r>
          </w:p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</w:p>
        </w:tc>
        <w:tc>
          <w:tcPr>
            <w:tcW w:type="dxa" w:w="4819"/>
          </w:tcPr>
          <w:p w:rsidP="0050393B" w:rsidR="008B3448" w:rsidRDefault="008B3448" w:rsidRPr="0050393B">
            <w:pPr>
              <w:pStyle w:val="ListParagraph"/>
              <w:numPr>
                <w:ilvl w:val="0"/>
                <w:numId w:val="4"/>
              </w:numPr>
              <w:spacing w:after="120"/>
              <w:ind w:hanging="204" w:left="204"/>
              <w:contextualSpacing w:val="0"/>
              <w:rPr>
                <w:rFonts w:ascii="Arial Narrow" w:cs="Arial" w:eastAsia="Calibri" w:hAnsi="Arial Narrow"/>
                <w:lang w:val="en-GB"/>
              </w:rPr>
            </w:pPr>
            <w:r w:rsidRPr="0050393B">
              <w:rPr>
                <w:rFonts w:ascii="Arial Narrow" w:cs="Arial" w:eastAsia="Calibri" w:hAnsi="Arial Narrow"/>
                <w:lang w:val="en-GB"/>
              </w:rPr>
              <w:t>Correct sipper water flow, give soaked food</w:t>
            </w:r>
            <w:r w:rsidR="0050393B" w:rsidRPr="0050393B">
              <w:rPr>
                <w:rFonts w:ascii="Arial Narrow" w:cs="Arial" w:eastAsia="Calibri" w:hAnsi="Arial Narrow"/>
                <w:lang w:val="en-GB"/>
              </w:rPr>
              <w:t>.</w:t>
            </w:r>
          </w:p>
          <w:p w:rsidP="0050393B" w:rsidR="008B3448" w:rsidRDefault="008B3448" w:rsidRPr="0050393B">
            <w:pPr>
              <w:pStyle w:val="ListParagraph"/>
              <w:numPr>
                <w:ilvl w:val="0"/>
                <w:numId w:val="4"/>
              </w:numPr>
              <w:spacing w:after="120"/>
              <w:ind w:hanging="204" w:left="204"/>
              <w:contextualSpacing w:val="0"/>
              <w:rPr>
                <w:rFonts w:ascii="Arial Narrow" w:cs="Arial" w:eastAsia="Calibri" w:hAnsi="Arial Narrow"/>
                <w:lang w:val="en-GB"/>
              </w:rPr>
            </w:pPr>
            <w:r w:rsidRPr="0050393B">
              <w:rPr>
                <w:rFonts w:ascii="Arial Narrow" w:cs="Arial" w:eastAsia="Calibri" w:hAnsi="Arial Narrow"/>
                <w:lang w:val="en-GB"/>
              </w:rPr>
              <w:t>Increase monitoring frequency to twice daily.</w:t>
            </w:r>
          </w:p>
          <w:p w:rsidP="0050393B" w:rsidR="008B3448" w:rsidRDefault="008B3448" w:rsidRPr="0050393B">
            <w:pPr>
              <w:pStyle w:val="ListParagraph"/>
              <w:numPr>
                <w:ilvl w:val="0"/>
                <w:numId w:val="4"/>
              </w:numPr>
              <w:spacing w:after="120"/>
              <w:ind w:hanging="204" w:left="204"/>
              <w:contextualSpacing w:val="0"/>
              <w:rPr>
                <w:rFonts w:ascii="Arial Narrow" w:cs="Arial" w:eastAsia="Calibri" w:hAnsi="Arial Narrow"/>
                <w:lang w:val="en-GB"/>
              </w:rPr>
            </w:pPr>
            <w:r w:rsidRPr="0050393B">
              <w:rPr>
                <w:rFonts w:ascii="Arial Narrow" w:cs="Arial" w:eastAsia="Calibri" w:hAnsi="Arial Narrow"/>
                <w:lang w:val="en-GB"/>
              </w:rPr>
              <w:t>Consult senior facility technician, notify the AWO depending on technician advice.</w:t>
            </w:r>
          </w:p>
          <w:p w:rsidP="0050393B" w:rsidR="008B3448" w:rsidRDefault="008B3448" w:rsidRPr="0050393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hanging="204" w:left="204"/>
              <w:contextualSpacing w:val="0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50393B">
              <w:rPr>
                <w:rFonts w:ascii="Arial Narrow" w:cs="Arial" w:eastAsia="Calibri" w:hAnsi="Arial Narrow"/>
                <w:lang w:val="en-GB"/>
              </w:rPr>
              <w:t>If 10% weight loss occurs within 24 hours then</w:t>
            </w:r>
            <w:r w:rsidR="0050393B" w:rsidRPr="0050393B">
              <w:rPr>
                <w:rFonts w:ascii="Arial Narrow" w:cs="Arial" w:eastAsia="Calibri" w:hAnsi="Arial Narrow"/>
                <w:lang w:val="en-GB"/>
              </w:rPr>
              <w:t xml:space="preserve"> consult AWO and follow advice.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Times New Roman" w:eastAsia="Calibri" w:hAnsi="Arial Narrow"/>
                <w:color w:val="000000"/>
                <w:lang w:val="en-GB"/>
              </w:rPr>
              <w:t>Weight loss exceeds 15% or 20% (depending on ethical approval)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ind w:left="34"/>
              <w:rPr>
                <w:rFonts w:ascii="Calibri" w:cs="Times New Roman" w:eastAsia="Calibri" w:hAnsi="Calibri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Adhere to conditions of ethical approval or consult AWO and follow advice or immediately humanely kill.</w:t>
            </w:r>
            <w:r w:rsidRPr="008B3448">
              <w:rPr>
                <w:rFonts w:ascii="Calibri" w:cs="Times New Roman" w:eastAsia="Calibri" w:hAnsi="Calibri"/>
                <w:lang w:val="en-GB"/>
              </w:rPr>
              <w:t xml:space="preserve"> </w:t>
            </w:r>
          </w:p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.</w:t>
            </w:r>
          </w:p>
        </w:tc>
      </w:tr>
      <w:tr w:rsidR="008B3448" w:rsidRPr="008B3448" w:rsidTr="008B3448">
        <w:trPr>
          <w:trHeight w:val="313"/>
          <w:jc w:val="center"/>
        </w:trPr>
        <w:tc>
          <w:tcPr>
            <w:tcW w:type="dxa" w:w="9180"/>
            <w:gridSpan w:val="3"/>
            <w:shd w:color="auto" w:fill="FABF8F" w:val="clear"/>
          </w:tcPr>
          <w:p w:rsidP="008B3448" w:rsidR="008B3448" w:rsidRDefault="008B3448" w:rsidRPr="008B3448">
            <w:pPr>
              <w:spacing w:after="0" w:line="240" w:lineRule="auto"/>
              <w:jc w:val="center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Other recommended project specific, criteria and actions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Mouse/Rat grimace score</w:t>
            </w:r>
          </w:p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(See illustration at end of document)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Mouse grimace “moderate” or “obvious” as per Matsumiya et al 2102, JAALAS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 xml:space="preserve">If within 48 hours of acute trauma administer pain relief. If beyond 48 hours consult AWO and follow advice. 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Tumour size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Ectopic subcutaneous tumour – one tumour or cumulative tumour burden of 1000 mm</w:t>
            </w:r>
            <w:r w:rsidRPr="008B3448">
              <w:rPr>
                <w:rFonts w:ascii="Arial Narrow" w:cs="Arial" w:eastAsia="Calibri" w:hAnsi="Arial Narrow"/>
                <w:vertAlign w:val="superscript"/>
                <w:lang w:val="en-GB"/>
              </w:rPr>
              <w:t>3</w:t>
            </w:r>
            <w:r w:rsidRPr="008B3448">
              <w:rPr>
                <w:rFonts w:ascii="Arial Narrow" w:cs="Arial" w:eastAsia="Calibri" w:hAnsi="Arial Narrow"/>
                <w:lang w:val="en-GB"/>
              </w:rPr>
              <w:t xml:space="preserve"> or greater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Consult AWO and follow advice. AWO to monitor as per ethical approval.</w:t>
            </w: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Tumour size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Arial" w:eastAsia="Calibri" w:hAnsi="Arial Narrow"/>
                <w:lang w:val="en-GB"/>
              </w:rPr>
              <w:t>Ectopic subcutaneous tumours – one tumour or cumulative tumour burden, greater than 1688 mm</w:t>
            </w:r>
            <w:r w:rsidRPr="008B3448">
              <w:rPr>
                <w:rFonts w:ascii="Arial Narrow" w:cs="Arial" w:eastAsia="Calibri" w:hAnsi="Arial Narrow"/>
                <w:vertAlign w:val="superscript"/>
                <w:lang w:val="en-GB"/>
              </w:rPr>
              <w:t>3</w:t>
            </w:r>
            <w:r w:rsidRPr="008B3448">
              <w:rPr>
                <w:rFonts w:ascii="Arial Narrow" w:cs="Arial" w:eastAsia="Calibri" w:hAnsi="Arial Narrow"/>
                <w:lang w:val="en-GB"/>
              </w:rPr>
              <w:t xml:space="preserve"> as per Workman et al, 2010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ind w:left="34"/>
              <w:rPr>
                <w:rFonts w:ascii="Calibri" w:cs="Times New Roman" w:eastAsia="Calibri" w:hAnsi="Calibri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Follow conditions of ethical approval or consult and follow AWO advice.</w:t>
            </w:r>
            <w:r w:rsidRPr="008B3448">
              <w:rPr>
                <w:rFonts w:ascii="Calibri" w:cs="Times New Roman" w:eastAsia="Calibri" w:hAnsi="Calibri"/>
                <w:lang w:val="en-GB"/>
              </w:rPr>
              <w:t xml:space="preserve"> </w:t>
            </w:r>
          </w:p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Tumour ulceration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Arial" w:eastAsia="Calibri" w:hAnsi="Arial Narrow"/>
                <w:lang w:val="en-GB"/>
              </w:rPr>
            </w:pPr>
            <w:r w:rsidRPr="008B3448">
              <w:rPr>
                <w:rFonts w:ascii="Arial Narrow" w:cs="Times New Roman" w:eastAsia="Calibri" w:hAnsi="Arial Narrow"/>
                <w:lang w:val="en-GB"/>
              </w:rPr>
              <w:t>Wet tumour surface or bleeding evident which does not dry or scab within 6 hours or overnight/ accompanying signs of ulcer inflammation/ persistent scratching or cleaning by the mouse</w:t>
            </w:r>
          </w:p>
        </w:tc>
        <w:tc>
          <w:tcPr>
            <w:tcW w:type="dxa" w:w="4819"/>
          </w:tcPr>
          <w:p w:rsidP="0050393B" w:rsidR="008B3448" w:rsidRDefault="008B3448" w:rsidRPr="005039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04" w:left="204"/>
              <w:rPr>
                <w:rFonts w:ascii="Calibri" w:cs="Times New Roman" w:eastAsia="Calibri" w:hAnsi="Calibri"/>
                <w:lang w:val="en-GB"/>
              </w:rPr>
            </w:pPr>
            <w:r w:rsidRPr="0050393B">
              <w:rPr>
                <w:rFonts w:ascii="Arial Narrow" w:cs="Arial" w:eastAsia="Calibri" w:hAnsi="Arial Narrow"/>
                <w:color w:val="000000"/>
                <w:lang w:val="en-GB"/>
              </w:rPr>
              <w:t>Adhere to conditions of ethical approval or consult AWO and follow advice or immediate euthanasia.</w:t>
            </w:r>
          </w:p>
          <w:p w:rsidP="0050393B" w:rsidR="0050393B" w:rsidRDefault="0050393B">
            <w:pPr>
              <w:spacing w:after="0" w:line="240" w:lineRule="auto"/>
              <w:ind w:hanging="204" w:left="204"/>
              <w:rPr>
                <w:rFonts w:ascii="Arial Narrow" w:cs="Arial" w:eastAsia="Calibri" w:hAnsi="Arial Narrow"/>
                <w:color w:val="000000"/>
                <w:lang w:val="en-GB"/>
              </w:rPr>
            </w:pPr>
          </w:p>
          <w:p w:rsidP="0050393B" w:rsidR="008B3448" w:rsidRDefault="008B3448" w:rsidRPr="005039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hanging="204" w:left="204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50393B">
              <w:rPr>
                <w:rFonts w:ascii="Arial Narrow" w:cs="Arial" w:eastAsia="Calibri" w:hAnsi="Arial Narrow"/>
                <w:color w:val="000000"/>
                <w:lang w:val="en-GB"/>
              </w:rPr>
              <w:t>Complete a Running Mortality Sheet.</w:t>
            </w:r>
          </w:p>
          <w:p w:rsidP="008B3448" w:rsidR="008B3448" w:rsidRDefault="008B3448" w:rsidRPr="008B3448">
            <w:pPr>
              <w:spacing w:after="0" w:line="240" w:lineRule="auto"/>
              <w:rPr>
                <w:rFonts w:ascii="Arial Narrow" w:cs="Arial" w:eastAsia="Calibri" w:hAnsi="Arial Narrow"/>
                <w:color w:val="000000"/>
                <w:lang w:val="en-GB"/>
              </w:rPr>
            </w:pPr>
          </w:p>
        </w:tc>
      </w:tr>
      <w:tr w:rsidR="008B3448" w:rsidRPr="008B3448" w:rsidTr="008B3448">
        <w:trPr>
          <w:trHeight w:val="695"/>
          <w:jc w:val="center"/>
        </w:trPr>
        <w:tc>
          <w:tcPr>
            <w:tcW w:type="dxa" w:w="1838"/>
            <w:shd w:color="auto" w:fill="FABF8F" w:val="clear"/>
          </w:tcPr>
          <w:p w:rsidP="008B3448" w:rsidR="008B3448" w:rsidRDefault="008B3448" w:rsidRPr="008B3448">
            <w:pPr>
              <w:spacing w:after="0"/>
              <w:jc w:val="center"/>
              <w:rPr>
                <w:rFonts w:ascii="Arial Narrow" w:cs="Arial" w:eastAsia="Calibri" w:hAnsi="Arial Narrow"/>
                <w:b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Tumour position</w:t>
            </w:r>
          </w:p>
        </w:tc>
        <w:tc>
          <w:tcPr>
            <w:tcW w:type="dxa" w:w="2523"/>
          </w:tcPr>
          <w:p w:rsidP="008B3448" w:rsidR="008B3448" w:rsidRDefault="008B3448" w:rsidRPr="008B3448">
            <w:pPr>
              <w:spacing w:after="0"/>
              <w:rPr>
                <w:rFonts w:ascii="Arial Narrow" w:cs="Times New Roman" w:eastAsia="Calibri" w:hAnsi="Arial Narrow"/>
                <w:lang w:val="en-GB"/>
              </w:rPr>
            </w:pPr>
            <w:r w:rsidRPr="008B3448">
              <w:rPr>
                <w:rFonts w:ascii="Arial Narrow" w:cs="Times New Roman" w:eastAsia="Calibri" w:hAnsi="Arial Narrow"/>
                <w:lang w:val="en-GB"/>
              </w:rPr>
              <w:t>Position of the tumour significantly impedes physiological function or locomotion</w:t>
            </w:r>
          </w:p>
        </w:tc>
        <w:tc>
          <w:tcPr>
            <w:tcW w:type="dxa" w:w="4819"/>
          </w:tcPr>
          <w:p w:rsidP="008B3448" w:rsidR="008B3448" w:rsidRDefault="008B3448" w:rsidRPr="008B3448">
            <w:pPr>
              <w:spacing w:after="0" w:line="240" w:lineRule="auto"/>
              <w:ind w:left="34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color w:val="000000"/>
                <w:lang w:val="en-GB"/>
              </w:rPr>
              <w:t>Consult AWO and follow advice. AWO to monitor as per ethical approval.</w:t>
            </w:r>
          </w:p>
        </w:tc>
      </w:tr>
      <w:tr w:rsidR="008B3448" w:rsidRPr="008B3448" w:rsidTr="004E2B7A">
        <w:trPr>
          <w:trHeight w:val="695"/>
          <w:jc w:val="center"/>
        </w:trPr>
        <w:tc>
          <w:tcPr>
            <w:tcW w:type="dxa" w:w="9180"/>
            <w:gridSpan w:val="3"/>
            <w:shd w:color="auto" w:fill="auto" w:val="clear"/>
          </w:tcPr>
          <w:p w:rsidP="008B3448" w:rsidR="008B3448" w:rsidRDefault="008B3448" w:rsidRPr="008B3448">
            <w:pPr>
              <w:spacing w:after="0" w:line="240" w:lineRule="auto"/>
              <w:ind w:left="34"/>
              <w:rPr>
                <w:rFonts w:ascii="Arial Narrow" w:cs="Arial" w:eastAsia="Calibri" w:hAnsi="Arial Narrow"/>
                <w:color w:val="000000"/>
                <w:lang w:val="en-GB"/>
              </w:rPr>
            </w:pPr>
            <w:r w:rsidRPr="008B3448">
              <w:rPr>
                <w:rFonts w:ascii="Arial Narrow" w:cs="Arial" w:eastAsia="Calibri" w:hAnsi="Arial Narrow"/>
                <w:b/>
                <w:lang w:val="en-GB"/>
              </w:rPr>
              <w:t>Note: Weight loss in growing animals is calculated against pre-interventio</w:t>
            </w:r>
            <w:r w:rsidR="0050393B">
              <w:rPr>
                <w:rFonts w:ascii="Arial Narrow" w:cs="Arial" w:eastAsia="Calibri" w:hAnsi="Arial Narrow"/>
                <w:b/>
                <w:lang w:val="en-GB"/>
              </w:rPr>
              <w:t xml:space="preserve">nal weight, control animals or </w:t>
            </w:r>
            <w:r w:rsidRPr="008B3448">
              <w:rPr>
                <w:rFonts w:ascii="Arial Narrow" w:cs="Arial" w:eastAsia="Calibri" w:hAnsi="Arial Narrow"/>
                <w:b/>
                <w:lang w:val="en-GB"/>
              </w:rPr>
              <w:t>growth-charts. If growing animals fall below the bottom of the growth curve for the background strain as provided from the supplier, consult the AWO or humanely kill.</w:t>
            </w:r>
          </w:p>
        </w:tc>
      </w:tr>
    </w:tbl>
    <w:p w:rsidP="008B3448" w:rsidR="008B3448" w:rsidRDefault="008B3448" w:rsidRPr="008B3448">
      <w:pPr>
        <w:spacing w:after="0"/>
        <w:rPr>
          <w:rFonts w:ascii="Arial Narrow" w:cs="Arial" w:eastAsia="Calibri" w:hAnsi="Arial Narrow"/>
          <w:sz w:val="28"/>
          <w:lang w:val="en-GB"/>
        </w:rPr>
      </w:pPr>
    </w:p>
    <w:p w:rsidP="008B3448" w:rsidR="008B3448" w:rsidRDefault="008B3448" w:rsidRPr="008B3448">
      <w:pPr>
        <w:numPr>
          <w:ilvl w:val="0"/>
          <w:numId w:val="1"/>
        </w:numPr>
        <w:spacing w:after="0" w:line="240" w:lineRule="auto"/>
        <w:ind w:hanging="283" w:left="567"/>
        <w:rPr>
          <w:rFonts w:ascii="Arial Narrow" w:cs="Arial" w:eastAsia="Calibri" w:hAnsi="Arial Narrow"/>
          <w:b/>
          <w:lang w:val="en-GB"/>
        </w:rPr>
      </w:pPr>
      <w:r w:rsidRPr="008B3448">
        <w:rPr>
          <w:rFonts w:ascii="Arial Narrow" w:cs="Arial" w:eastAsia="Calibri" w:hAnsi="Arial Narrow"/>
          <w:b/>
          <w:lang w:val="en-GB"/>
        </w:rPr>
        <w:t>INSTRUCTIONS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Each animal is examined at each nominated monitoring time point.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Each criteria is scored and the score marked on the record sheet. Training by the AWO is required to ensure all personnel are consistent in terms of scoring.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Scores are then added together and a total score is recorded on the record sheet.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Specific actions/interventions are undertaken in accordance with the clinical score.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lastRenderedPageBreak/>
        <w:t>Comments concerning abnormalities are recorded in the “Comments” section.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Any other abnormalities are recorded in the “Other” section.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Any abnormality that is of greater severity than the descriptions above, or is a major deviation from normal, beyond that approved, will require immediate consultation with the AWO or immediate euthanasia with submission of an Unexpected Adverse Event report.</w:t>
      </w:r>
    </w:p>
    <w:p w:rsidP="008B3448" w:rsidR="008B3448" w:rsidRDefault="008B3448" w:rsidRPr="008B3448">
      <w:pPr>
        <w:numPr>
          <w:ilvl w:val="0"/>
          <w:numId w:val="2"/>
        </w:numPr>
        <w:spacing w:after="0" w:line="240" w:lineRule="auto"/>
        <w:ind w:hanging="567" w:left="1134"/>
        <w:rPr>
          <w:rFonts w:ascii="Calibri" w:cs="Times New Roman" w:eastAsia="Calibri" w:hAnsi="Calibri"/>
          <w:lang w:val="en-GB"/>
        </w:rPr>
      </w:pPr>
      <w:r w:rsidRPr="008B3448">
        <w:rPr>
          <w:rFonts w:ascii="Arial Narrow" w:cs="Arial" w:eastAsia="Calibri" w:hAnsi="Arial Narrow"/>
          <w:lang w:val="en-GB"/>
        </w:rPr>
        <w:t>All unexpected adverse events must be reported immediately to the AWO and an Unexpected Adverse Event Report submitted to the Animal Ethics Officer.</w:t>
      </w:r>
    </w:p>
    <w:p w:rsidP="008B3448" w:rsidR="008B3448" w:rsidRDefault="008B3448" w:rsidRPr="008B3448">
      <w:pPr>
        <w:ind w:left="426"/>
        <w:rPr>
          <w:rFonts w:ascii="Arial Narrow" w:cs="Arial" w:eastAsia="Calibri" w:hAnsi="Arial Narrow"/>
          <w:b/>
          <w:sz w:val="28"/>
          <w:szCs w:val="28"/>
          <w:lang w:val="en-GB"/>
        </w:rPr>
      </w:pPr>
    </w:p>
    <w:p w:rsidP="008B3448" w:rsidR="008B3448" w:rsidRDefault="008B3448" w:rsidRPr="008B3448">
      <w:pPr>
        <w:ind w:left="426"/>
        <w:rPr>
          <w:rFonts w:ascii="Arial Narrow" w:cs="Arial" w:eastAsia="Calibri" w:hAnsi="Arial Narrow"/>
          <w:b/>
          <w:sz w:val="28"/>
          <w:szCs w:val="28"/>
          <w:lang w:val="en-GB"/>
        </w:rPr>
      </w:pPr>
      <w:r w:rsidRPr="008B3448">
        <w:rPr>
          <w:rFonts w:ascii="Arial Narrow" w:cs="Arial" w:eastAsia="Calibri" w:hAnsi="Arial Narrow"/>
          <w:b/>
          <w:sz w:val="28"/>
          <w:szCs w:val="28"/>
          <w:lang w:val="en-GB"/>
        </w:rPr>
        <w:t>Mouse grimace score</w:t>
      </w:r>
    </w:p>
    <w:p w:rsidP="008B3448" w:rsidR="008B3448" w:rsidRDefault="008B3448" w:rsidRPr="008B3448">
      <w:pPr>
        <w:ind w:left="426"/>
        <w:rPr>
          <w:rFonts w:ascii="Arial Narrow" w:cs="Arial" w:eastAsia="Calibri" w:hAnsi="Arial Narrow"/>
          <w:lang w:val="en-GB"/>
        </w:rPr>
      </w:pPr>
      <w:r w:rsidRPr="008B3448">
        <w:rPr>
          <w:rFonts w:ascii="Arial Narrow" w:cs="Arial" w:eastAsia="Calibri" w:hAnsi="Arial Narrow"/>
          <w:noProof/>
          <w:lang w:eastAsia="en-AU"/>
        </w:rPr>
        <mc:AlternateContent>
          <mc:Choice Requires="wps">
            <w:drawing>
              <wp:anchor allowOverlap="1" behindDoc="0" distB="45720" distL="114300" distR="114300" distT="45720" layoutInCell="1" locked="0" relativeHeight="251659264" simplePos="0" wp14:anchorId="3E6E33E2" wp14:editId="24C935CD">
                <wp:simplePos x="0" y="0"/>
                <wp:positionH relativeFrom="column">
                  <wp:posOffset>3433445</wp:posOffset>
                </wp:positionH>
                <wp:positionV relativeFrom="paragraph">
                  <wp:posOffset>416560</wp:posOffset>
                </wp:positionV>
                <wp:extent cx="2838450" cy="804545"/>
                <wp:effectExtent b="14605" l="0" r="19050" t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8B3448" w:rsidR="008B3448" w:rsidRDefault="008B3448">
                            <w:r>
                              <w:t xml:space="preserve">From Matsumiya et al, 2012, Using the Mouse Grimace Scale to Re-evaluate the Efficacy of Postoperative </w:t>
                            </w:r>
                            <w:r>
                              <w:tab/>
                              <w:t xml:space="preserve">Analgesics in Laboratory Mice, </w:t>
                            </w:r>
                            <w:r w:rsidRPr="009021CE">
                              <w:rPr>
                                <w:i/>
                              </w:rPr>
                              <w:t>JAALAS</w:t>
                            </w:r>
                            <w:r>
                              <w:t>, Vol 51, No 1, January 2012, pp 42 - 49</w:t>
                            </w:r>
                          </w:p>
                          <w:p w:rsidP="008B3448" w:rsidR="008B3448" w:rsidRDefault="008B3448" w:rsidRPr="00AE36C5"/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3E6E33E2">
                <v:stroke joinstyle="miter"/>
                <v:path gradientshapeok="t" o:connecttype="rect"/>
              </v:shapetype>
              <v:shape id="Text Box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9oh6IwIAAEYEAAAOAAAAZHJzL2Uyb0RvYy54bWysU9tu2zAMfR+wfxD0vtjxnDU14hRdugwD ugvQ7gNkWY6FSaImKbG7ry8lp2l2exmmB0EUqaPDQ3J1NWpFDsJ5Caam81lOiTAcWml2Nf16v321 pMQHZlqmwIiaPghPr9YvX6wGW4kCelCtcARBjK8GW9M+BFtlmee90MzPwAqDzg6cZgFNt8taxwZE 1yor8vxNNoBrrQMuvMfbm8lJ1wm/6wQPn7vOi0BUTZFbSLtLexP3bL1i1c4x20t+pMH+gYVm0uCn J6gbFhjZO/kblJbcgYcuzDjoDLpOcpFywGzm+S/Z3PXMipQLiuPtSSb//2D5p8MXR2Rb02J+QYlh Got0L8ZA3sJIiqjPYH2FYXcWA8OI11jnlKu3t8C/eWJg0zOzE9fOwdAL1iK/eXyZnT2dcHwEaYaP 0OI3bB8gAY2d01E8lIMgOtbp4VSbSIXjZbF8vSwX6OLoW+blolykL1j19No6H94L0CQeauqw9gmd HW59iGxY9RQSP/OgZLuVSiXD7ZqNcuTAsE+2aR3RfwpThgw1vVwUi0mAv0Lkaf0JQsuADa+kjlnE FYNYFWV7Z9p0Dkyq6YyUlTnqGKWbRAxjM2JgFLeB9gEVdTA1Ng4iHnpwPygZsKlr6r/vmROUqA8G q3I5L8s4BckoFxcFGu7c05x7mOEIVdNAyXTchDQ5ka+Ba6xeJ5Owz0yOXLFZk97HwYrTcG6nqOfx Xz8CAAD//wMAUEsDBBQABgAIAAAAIQAwPBOP4AAAAAoBAAAPAAAAZHJzL2Rvd25yZXYueG1sTI/L TsMwEEX3SPyDNUhsUOvQR17EqRASiO6gRbB1YzeJsMfBdtPw9wwrWM7M0Z1zq81kDRu1D71DAbfz BJjGxqkeWwFv+8dZDixEiUoah1rAtw6wqS8vKlkqd8ZXPe5iyygEQykFdDEOJeeh6bSVYe4GjXQ7 Om9lpNG3XHl5pnBr+CJJUm5lj/Shk4N+6HTzuTtZAfnqefwI2+XLe5MeTRFvsvHpywtxfTXd3wGL eop/MPzqkzrU5HRwJ1SBGQHrVZIRKiBdp8AIKPKMFgcii8USeF3x/xXqHwAAAP//AwBQSwECLQAU AAYACAAAACEAtoM4kv4AAADhAQAAEwAAAAAAAAAAAAAAAAAAAAAAW0NvbnRlbnRfVHlwZXNdLnht bFBLAQItABQABgAIAAAAIQA4/SH/1gAAAJQBAAALAAAAAAAAAAAAAAAAAC8BAABfcmVscy8ucmVs c1BLAQItABQABgAIAAAAIQB/9oh6IwIAAEYEAAAOAAAAAAAAAAAAAAAAAC4CAABkcnMvZTJvRG9j LnhtbFBLAQItABQABgAIAAAAIQAwPBOP4AAAAAoBAAAPAAAAAAAAAAAAAAAAAH0EAABkcnMvZG93 bnJldi54bWxQSwUGAAAAAAQABADzAAAAigUAAAAA " o:spid="_x0000_s1026" style="position:absolute;left:0;text-align:left;margin-left:270.35pt;margin-top:32.8pt;width:223.5pt;height:6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:rsidP="008B3448" w:rsidR="008B3448" w:rsidRDefault="008B3448">
                      <w:r>
                        <w:t xml:space="preserve">From </w:t>
                      </w:r>
                      <w:proofErr w:type="spellStart"/>
                      <w:r>
                        <w:t>Matsumiya</w:t>
                      </w:r>
                      <w:proofErr w:type="spellEnd"/>
                      <w:r>
                        <w:t xml:space="preserve"> et al, 2012, </w:t>
                      </w:r>
                      <w:proofErr w:type="gramStart"/>
                      <w:r>
                        <w:t>Using</w:t>
                      </w:r>
                      <w:proofErr w:type="gramEnd"/>
                      <w:r>
                        <w:t xml:space="preserve"> the Mouse Grimace Scale to Re-evaluate the Efficacy of Postoperative </w:t>
                      </w:r>
                      <w:r>
                        <w:tab/>
                        <w:t xml:space="preserve">Analgesics in Laboratory Mice, </w:t>
                      </w:r>
                      <w:proofErr w:type="spellStart"/>
                      <w:r w:rsidRPr="009021CE">
                        <w:rPr>
                          <w:i/>
                        </w:rPr>
                        <w:t>JAALAS</w:t>
                      </w:r>
                      <w:proofErr w:type="spellEnd"/>
                      <w:r>
                        <w:t>, Vol 51, No 1, January 2012, pp 42 - 49</w:t>
                      </w:r>
                    </w:p>
                    <w:p w:rsidP="008B3448" w:rsidR="008B3448" w:rsidRDefault="008B3448" w:rsidRPr="00AE36C5"/>
                  </w:txbxContent>
                </v:textbox>
                <w10:wrap type="square"/>
              </v:shape>
            </w:pict>
          </mc:Fallback>
        </mc:AlternateContent>
      </w:r>
      <w:r w:rsidRPr="008B3448">
        <w:rPr>
          <w:rFonts w:ascii="Arial Narrow" w:cs="Arial" w:eastAsia="Calibri" w:hAnsi="Arial Narrow"/>
          <w:noProof/>
          <w:lang w:eastAsia="en-AU"/>
        </w:rPr>
        <w:drawing>
          <wp:inline distB="0" distL="0" distR="0" distT="0" wp14:anchorId="5621C500" wp14:editId="688F6E6F">
            <wp:extent cx="3028950" cy="1466850"/>
            <wp:effectExtent b="0" l="0" r="0" t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S from Matsumiya L JAALAS 2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P="008B3448" w:rsidR="008B3448" w:rsidRDefault="008B3448" w:rsidRPr="008B3448">
      <w:pPr>
        <w:rPr>
          <w:rFonts w:ascii="Calibri" w:cs="Times New Roman" w:eastAsia="Calibri" w:hAnsi="Calibri"/>
          <w:u w:val="single"/>
          <w:lang w:val="en-GB"/>
        </w:rPr>
      </w:pPr>
      <w:r w:rsidRPr="008B3448">
        <w:rPr>
          <w:rFonts w:ascii="Calibri" w:cs="Times New Roman" w:eastAsia="Calibri" w:hAnsi="Calibri"/>
          <w:lang w:val="en-GB"/>
        </w:rPr>
        <w:tab/>
      </w:r>
    </w:p>
    <w:p w:rsidP="008B3448" w:rsidR="008B3448" w:rsidRDefault="008B3448" w:rsidRPr="008B3448">
      <w:pPr>
        <w:ind w:left="567" w:right="567"/>
        <w:rPr>
          <w:rFonts w:ascii="Calibri" w:cs="Times New Roman" w:eastAsia="Calibri" w:hAnsi="Calibri"/>
          <w:u w:val="single"/>
          <w:lang w:val="en-GB"/>
        </w:rPr>
      </w:pPr>
      <w:r w:rsidRPr="008B3448">
        <w:rPr>
          <w:rFonts w:ascii="Arial Narrow" w:cs="Times New Roman" w:eastAsia="Calibri" w:hAnsi="Arial Narrow"/>
          <w:noProof/>
          <w:sz w:val="20"/>
          <w:szCs w:val="20"/>
          <w:lang w:eastAsia="en-AU"/>
        </w:rPr>
        <w:drawing>
          <wp:anchor allowOverlap="1" behindDoc="0" distB="0" distL="114300" distR="114300" distT="0" layoutInCell="1" locked="0" relativeHeight="251661312" simplePos="0" wp14:anchorId="618C8591" wp14:editId="66ED056F">
            <wp:simplePos x="0" y="0"/>
            <wp:positionH relativeFrom="column">
              <wp:posOffset>-262255</wp:posOffset>
            </wp:positionH>
            <wp:positionV relativeFrom="paragraph">
              <wp:posOffset>83185</wp:posOffset>
            </wp:positionV>
            <wp:extent cx="3359150" cy="5170407"/>
            <wp:effectExtent b="0" l="0" r="0" t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517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8B3448" w:rsidR="008B3448" w:rsidRDefault="008B3448" w:rsidRPr="008B3448">
      <w:pPr>
        <w:ind w:left="567" w:right="567"/>
        <w:rPr>
          <w:rFonts w:ascii="Calibri" w:cs="Times New Roman" w:eastAsia="Calibri" w:hAnsi="Calibri"/>
          <w:u w:val="single"/>
          <w:lang w:val="en-GB"/>
        </w:rPr>
      </w:pPr>
    </w:p>
    <w:p w:rsidP="008B3448" w:rsidR="008B3448" w:rsidRDefault="008B3448" w:rsidRPr="008B3448">
      <w:pPr>
        <w:ind w:left="567" w:right="567"/>
        <w:rPr>
          <w:rFonts w:ascii="Calibri" w:cs="Times New Roman" w:eastAsia="Calibri" w:hAnsi="Calibri"/>
          <w:u w:val="single"/>
          <w:lang w:val="en-GB"/>
        </w:rPr>
      </w:pPr>
    </w:p>
    <w:p w:rsidP="008B3448" w:rsidR="008B3448" w:rsidRDefault="008B3448" w:rsidRPr="008B3448">
      <w:pPr>
        <w:ind w:left="567" w:right="567"/>
        <w:rPr>
          <w:rFonts w:ascii="Calibri" w:cs="Times New Roman" w:eastAsia="Calibri" w:hAnsi="Calibri"/>
          <w:u w:val="single"/>
          <w:lang w:val="en-GB"/>
        </w:rPr>
      </w:pPr>
    </w:p>
    <w:p w:rsidP="008B3448" w:rsidR="008B3448" w:rsidRDefault="008B3448" w:rsidRPr="008B3448">
      <w:pPr>
        <w:ind w:left="567" w:right="567"/>
        <w:rPr>
          <w:rFonts w:ascii="Calibri" w:cs="Times New Roman" w:eastAsia="Calibri" w:hAnsi="Calibri"/>
          <w:u w:val="single"/>
          <w:lang w:val="en-GB"/>
        </w:rPr>
      </w:pPr>
    </w:p>
    <w:p w:rsidR="007478BA" w:rsidRDefault="008B3448">
      <w:r w:rsidRPr="008B3448">
        <w:rPr>
          <w:rFonts w:ascii="Calibri" w:cs="Times New Roman" w:eastAsia="Calibri" w:hAnsi="Calibri"/>
          <w:noProof/>
          <w:u w:val="single"/>
          <w:lang w:eastAsia="en-AU"/>
        </w:rPr>
        <mc:AlternateContent>
          <mc:Choice Requires="wps">
            <w:drawing>
              <wp:anchor allowOverlap="1" behindDoc="0" distB="45720" distL="114300" distR="114300" distT="45720" layoutInCell="1" locked="0" relativeHeight="251660288" simplePos="0" wp14:anchorId="2DF65389" wp14:editId="5DEF6AEF">
                <wp:simplePos x="0" y="0"/>
                <wp:positionH relativeFrom="margin">
                  <wp:posOffset>3157220</wp:posOffset>
                </wp:positionH>
                <wp:positionV relativeFrom="paragraph">
                  <wp:posOffset>36195</wp:posOffset>
                </wp:positionV>
                <wp:extent cx="3114675" cy="467995"/>
                <wp:effectExtent b="27305" l="0" r="28575" t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8B3448" w:rsidR="008B3448" w:rsidRDefault="008B3448">
                            <w:r>
                              <w:t>From Ullman-Culler</w:t>
                            </w:r>
                            <w:r w:rsidRPr="008B3448">
                              <w:rPr>
                                <w:rFonts w:cs="Calibri"/>
                              </w:rPr>
                              <w:t>é</w:t>
                            </w:r>
                            <w:r>
                              <w:t xml:space="preserve"> M H and Foltz C J, 1999, Laboratory Animal Science, Vol 49, No 3, June 1999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6IzVJAIAAEsEAAAOAAAAZHJzL2Uyb0RvYy54bWysVNtu2zAMfR+wfxD0vjjxkrYx4hRdugwD ugvQ7gNoWY6FSaInKbG7rx8lp2l2exnmB4EUqUPykPTqejCaHaTzCm3JZ5MpZ9IKrJXdlfzLw/bV FWc+gK1Bo5Ulf5SeX69fvlj1XSFzbFHX0jECsb7ou5K3IXRFlnnRSgN+gp20ZGzQGQikul1WO+gJ 3egsn04vsh5d3TkU0nu6vR2NfJ3wm0aK8KlpvAxMl5xyC+l06azima1XUOwcdK0SxzTgH7IwoCwF PUHdQgC2d+o3KKOEQ49NmAg0GTaNEjLVQNXMpr9Uc99CJ1MtRI7vTjT5/wcrPh4+O6bqkuecWTDU ogc5BPYGB5ZHdvrOF+R035FbGOiaupwq9d0diq+eWdy0YHfyxjnsWwk1ZTeLL7OzpyOOjyBV/wFr CgP7gAloaJyJ1BEZjNCpS4+nzsRUBF2+ns3mF5cLzgTZSFouFykEFE+vO+fDO4mGRaHkjjqf0OFw 50PMBoonlxjMo1b1VmmdFLerNtqxA9CUbNN3RP/JTVvWl3y5yBcjAX+FmKbvTxBGBRp3rUzJr05O UETa3to6DWMApUeZUtb2yGOkbiQxDNWQGpZIjhxXWD8SsQ7H6aZtJKFF952znia75P7bHpzkTL+3 1JzlbD6Pq5CU+eIyJ8WdW6pzC1hBUCUPnI3iJqT1ibxZvKEmNirx+5zJMWWa2ET7cbviSpzryev5 H7D+AQAA//8DAFBLAwQUAAYACAAAACEAnRSWYt8AAAAIAQAADwAAAGRycy9kb3ducmV2LnhtbEyP wU7DMBBE70j8g7VIXBB1KKFOQpwKIYHoDQqCqxu7SYS9Drabhr9nOcFtVjOaeVuvZ2fZZEIcPEq4 WmTADLZeD9hJeHt9uCyAxaRQK+vRSPg2EdbN6UmtKu2P+GKmbeoYlWCslIQ+pbHiPLa9cSou/GiQ vL0PTiU6Q8d1UEcqd5Yvs2zFnRqQFno1mvvetJ/bg5NQ5E/TR9xcP7+3q70t04WYHr+ClOdn890t sGTm9BeGX3xCh4aYdv6AOjIrIS/FkqISbgQw8stCkNhJEGUOvKn5/weaHwAAAP//AwBQSwECLQAU AAYACAAAACEAtoM4kv4AAADhAQAAEwAAAAAAAAAAAAAAAAAAAAAAW0NvbnRlbnRfVHlwZXNdLnht bFBLAQItABQABgAIAAAAIQA4/SH/1gAAAJQBAAALAAAAAAAAAAAAAAAAAC8BAABfcmVscy8ucmVs c1BLAQItABQABgAIAAAAIQAR6IzVJAIAAEsEAAAOAAAAAAAAAAAAAAAAAC4CAABkcnMvZTJvRG9j LnhtbFBLAQItABQABgAIAAAAIQCdFJZi3wAAAAgBAAAPAAAAAAAAAAAAAAAAAH4EAABkcnMvZG93 bnJldi54bWxQSwUGAAAAAAQABADzAAAAigUAAAAA " style="position:absolute;margin-left:248.6pt;margin-top:2.85pt;width:245.25pt;height:3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2DF65389">
                <v:textbox>
                  <w:txbxContent>
                    <w:p w:rsidP="008B3448" w:rsidR="008B3448" w:rsidRDefault="008B3448">
                      <w:r>
                        <w:t>From Ullman-</w:t>
                      </w:r>
                      <w:proofErr w:type="spellStart"/>
                      <w:r>
                        <w:t>Culler</w:t>
                      </w:r>
                      <w:r w:rsidRPr="008B3448">
                        <w:rPr>
                          <w:rFonts w:cs="Calibri"/>
                        </w:rPr>
                        <w:t>é</w:t>
                      </w:r>
                      <w:proofErr w:type="spellEnd"/>
                      <w:r>
                        <w:t xml:space="preserve"> M H and Foltz C J, 1999, Laboratory Animal Science, Vol 49, No 3, June 1999</w:t>
                      </w:r>
                    </w:p>
                  </w:txbxContent>
                </v:textbox>
                <w10:wrap anchorx="margin" type="square"/>
              </v:shape>
            </w:pict>
          </mc:Fallback>
        </mc:AlternateContent>
      </w:r>
    </w:p>
    <w:sectPr w:rsidR="007478BA">
      <w:headerReference r:id="rId9" w:type="default"/>
      <w:footerReference r:id="rId10" w:type="default"/>
      <w:pgSz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48" w:rsidRDefault="008B3448" w:rsidP="008B3448">
      <w:pPr>
        <w:spacing w:after="0" w:line="240" w:lineRule="auto"/>
      </w:pPr>
      <w:r>
        <w:separator/>
      </w:r>
    </w:p>
  </w:endnote>
  <w:endnote w:type="continuationSeparator" w:id="0">
    <w:p w:rsidR="008B3448" w:rsidRDefault="008B3448" w:rsidP="008B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P="00031E46" w:rsidR="008B3448" w:rsidRDefault="008B3448" w:rsidRPr="008B3448">
    <w:pPr>
      <w:pStyle w:val="Footer"/>
      <w:rPr>
        <w:rFonts w:ascii="Arial" w:cs="Arial" w:hAnsi="Arial"/>
        <w:sz w:val="16"/>
        <w:szCs w:val="16"/>
      </w:rPr>
    </w:pPr>
    <w:r w:rsidRPr="008B3448">
      <w:rPr>
        <w:rFonts w:ascii="Arial" w:cs="Arial" w:hAnsi="Arial"/>
        <w:sz w:val="16"/>
        <w:szCs w:val="16"/>
      </w:rPr>
      <w:t>E</w:t>
    </w:r>
    <w:r>
      <w:rPr>
        <w:rFonts w:ascii="Arial" w:cs="Arial" w:hAnsi="Arial"/>
        <w:sz w:val="16"/>
        <w:szCs w:val="16"/>
      </w:rPr>
      <w:t>xample</w:t>
    </w:r>
    <w:r w:rsidRPr="008B3448">
      <w:rPr>
        <w:rFonts w:ascii="Arial" w:cs="Arial" w:hAnsi="Arial"/>
        <w:sz w:val="16"/>
        <w:szCs w:val="16"/>
      </w:rPr>
      <w:t xml:space="preserve"> Individual Clinical Record Coversheet</w:t>
    </w:r>
    <w:r w:rsidRPr="008B3448">
      <w:rPr>
        <w:rFonts w:ascii="Arial" w:cs="Arial" w:hAnsi="Arial"/>
        <w:sz w:val="16"/>
        <w:szCs w:val="16"/>
      </w:rPr>
      <w:tab/>
      <w:t xml:space="preserve"> </w:t>
    </w:r>
    <w:sdt>
      <w:sdtPr>
        <w:rPr>
          <w:rFonts w:ascii="Arial" w:cs="Arial" w:hAnsi="Arial"/>
          <w:sz w:val="16"/>
          <w:szCs w:val="16"/>
        </w:rPr>
        <w:id w:val="1827001667"/>
        <w:docPartObj>
          <w:docPartGallery w:val="Page Numbers (Top of Page)"/>
          <w:docPartUnique/>
        </w:docPartObj>
      </w:sdtPr>
      <w:sdtEndPr/>
      <w:sdtContent>
        <w:r w:rsidRPr="008B3448">
          <w:rPr>
            <w:rFonts w:ascii="Arial" w:cs="Arial" w:hAnsi="Arial"/>
            <w:sz w:val="16"/>
            <w:szCs w:val="16"/>
          </w:rPr>
          <w:tab/>
          <w:t xml:space="preserve">Page 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begin"/>
        </w:r>
        <w:r w:rsidRPr="008B3448">
          <w:rPr>
            <w:rFonts w:ascii="Arial" w:cs="Arial" w:hAnsi="Arial"/>
            <w:bCs/>
            <w:sz w:val="16"/>
            <w:szCs w:val="16"/>
          </w:rPr>
          <w:instrText xml:space="preserve"> PAGE </w:instrTex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separate"/>
        </w:r>
        <w:r w:rsidR="005974FD">
          <w:rPr>
            <w:rFonts w:ascii="Arial" w:cs="Arial" w:hAnsi="Arial"/>
            <w:bCs/>
            <w:noProof/>
            <w:sz w:val="16"/>
            <w:szCs w:val="16"/>
          </w:rPr>
          <w:t>2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end"/>
        </w:r>
        <w:r w:rsidRPr="008B3448">
          <w:rPr>
            <w:rFonts w:ascii="Arial" w:cs="Arial" w:hAnsi="Arial"/>
            <w:sz w:val="16"/>
            <w:szCs w:val="16"/>
          </w:rPr>
          <w:t xml:space="preserve"> of 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begin"/>
        </w:r>
        <w:r w:rsidRPr="008B3448">
          <w:rPr>
            <w:rFonts w:ascii="Arial" w:cs="Arial" w:hAnsi="Arial"/>
            <w:bCs/>
            <w:sz w:val="16"/>
            <w:szCs w:val="16"/>
          </w:rPr>
          <w:instrText xml:space="preserve"> NUMPAGES  </w:instrTex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separate"/>
        </w:r>
        <w:r w:rsidR="005974FD">
          <w:rPr>
            <w:rFonts w:ascii="Arial" w:cs="Arial" w:hAnsi="Arial"/>
            <w:bCs/>
            <w:noProof/>
            <w:sz w:val="16"/>
            <w:szCs w:val="16"/>
          </w:rPr>
          <w:t>4</w:t>
        </w:r>
        <w:r w:rsidRPr="008B3448">
          <w:rPr>
            <w:rFonts w:ascii="Arial" w:cs="Arial" w:hAnsi="Arial"/>
            <w:bCs/>
            <w:sz w:val="16"/>
            <w:szCs w:val="16"/>
          </w:rPr>
          <w:fldChar w:fldCharType="end"/>
        </w:r>
      </w:sdtContent>
    </w:sdt>
  </w:p>
  <w:p w:rsidP="008B3448" w:rsidR="008B3448" w:rsidRDefault="008B3448" w:rsidRPr="008B3448">
    <w:pPr>
      <w:pStyle w:val="Footer"/>
      <w:spacing w:before="120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color w:val="464646"/>
        <w:sz w:val="16"/>
        <w:szCs w:val="16"/>
        <w:shd w:color="auto" w:fill="FFFFFF" w:val="clear"/>
      </w:rPr>
      <w:t>Clinical Record Coversheet and Recor</w:t>
    </w:r>
    <w:r>
      <w:rPr>
        <w:rFonts w:ascii="Arial" w:cs="Arial" w:hAnsi="Arial"/>
        <w:sz w:val="16"/>
        <w:szCs w:val="16"/>
        <w:shd w:color="auto" w:fill="FFFFFF" w:val="clear"/>
      </w:rPr>
      <w:t>d sheet adapted with the permission of The University of Western Australia, Office of Research Enterprise. [</w:t>
    </w:r>
    <w:r>
      <w:rPr>
        <w:rFonts w:ascii="Arial" w:cs="Arial" w:hAnsi="Arial"/>
        <w:sz w:val="16"/>
        <w:szCs w:val="16"/>
      </w:rPr>
      <w:t>“</w:t>
    </w:r>
    <w:r>
      <w:rPr>
        <w:rFonts w:ascii="Arial" w:cs="Arial" w:hAnsi="Arial"/>
        <w:sz w:val="16"/>
        <w:szCs w:val="16"/>
        <w:shd w:color="auto" w:fill="FFFFFF" w:val="clear"/>
      </w:rPr>
      <w:t xml:space="preserve">Monitoring Cover Sheet” at </w:t>
    </w:r>
    <w:hyperlink r:id="rId1" w:history="1">
      <w:r>
        <w:rPr>
          <w:rStyle w:val="Hyperlink"/>
          <w:rFonts w:ascii="Arial" w:cs="Arial" w:hAnsi="Arial"/>
          <w:sz w:val="16"/>
          <w:szCs w:val="16"/>
        </w:rPr>
        <w:t>http://www.research.uwa.edu.au/staff/forms/animals</w:t>
      </w:r>
    </w:hyperlink>
    <w:r>
      <w:rPr>
        <w:rFonts w:ascii="Arial" w:cs="Arial" w:hAnsi="Arial"/>
        <w:sz w:val="16"/>
        <w:szCs w:val="16"/>
      </w:rPr>
      <w:t>]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8B3448" w:rsidR="008B3448" w:rsidRDefault="008B3448">
      <w:pPr>
        <w:spacing w:after="0" w:line="240" w:lineRule="auto"/>
      </w:pPr>
      <w:r>
        <w:separator/>
      </w:r>
    </w:p>
  </w:footnote>
  <w:footnote w:id="0" w:type="continuationSeparator">
    <w:p w:rsidP="008B3448" w:rsidR="008B3448" w:rsidRDefault="008B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P="008B3448" w:rsidR="008B3448" w:rsidRDefault="008B3448" w:rsidRPr="008B3448">
    <w:pPr>
      <w:pStyle w:val="Header"/>
      <w:jc w:val="right"/>
      <w:rPr>
        <w:rFonts w:ascii="Arial" w:cs="Arial" w:hAnsi="Arial"/>
        <w:sz w:val="20"/>
      </w:rPr>
    </w:pPr>
    <w:r w:rsidRPr="008B3448">
      <w:rPr>
        <w:rFonts w:ascii="Arial" w:cs="Arial" w:hAnsi="Arial"/>
        <w:sz w:val="20"/>
      </w:rPr>
      <w:t>Version 1</w:t>
    </w:r>
  </w:p>
</w:hdr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15:restartNumberingAfterBreak="0" w:abstractNumId="0">
    <w:nsid w:val="32C56D9C"/>
    <w:multiLevelType w:val="hybridMultilevel"/>
    <w:tmpl w:val="586A7560"/>
    <w:lvl w:ilvl="0" w:tplc="5D4812FE">
      <w:start w:val="1"/>
      <w:numFmt w:val="decimal"/>
      <w:lvlText w:val="%1)"/>
      <w:lvlJc w:val="left"/>
      <w:pPr>
        <w:ind w:hanging="360" w:left="3382"/>
      </w:pPr>
      <w:rPr>
        <w:rFonts w:cs="Times New Roman" w:hint="default"/>
        <w:b/>
      </w:rPr>
    </w:lvl>
    <w:lvl w:ilvl="1" w:tplc="0C090019">
      <w:start w:val="1"/>
      <w:numFmt w:val="lowerLetter"/>
      <w:lvlText w:val="%2."/>
      <w:lvlJc w:val="left"/>
      <w:pPr>
        <w:ind w:hanging="360" w:left="4320"/>
      </w:pPr>
      <w:rPr>
        <w:rFonts w:cs="Times New Roman"/>
      </w:rPr>
    </w:lvl>
    <w:lvl w:ilvl="2" w:tentative="1" w:tplc="0C09001B">
      <w:start w:val="1"/>
      <w:numFmt w:val="lowerRoman"/>
      <w:lvlText w:val="%3."/>
      <w:lvlJc w:val="right"/>
      <w:pPr>
        <w:ind w:hanging="180" w:left="5040"/>
      </w:pPr>
      <w:rPr>
        <w:rFonts w:cs="Times New Roman"/>
      </w:rPr>
    </w:lvl>
    <w:lvl w:ilvl="3" w:tentative="1" w:tplc="0C09000F">
      <w:start w:val="1"/>
      <w:numFmt w:val="decimal"/>
      <w:lvlText w:val="%4."/>
      <w:lvlJc w:val="left"/>
      <w:pPr>
        <w:ind w:hanging="360" w:left="5760"/>
      </w:pPr>
      <w:rPr>
        <w:rFonts w:cs="Times New Roman"/>
      </w:rPr>
    </w:lvl>
    <w:lvl w:ilvl="4" w:tentative="1" w:tplc="0C090019">
      <w:start w:val="1"/>
      <w:numFmt w:val="lowerLetter"/>
      <w:lvlText w:val="%5."/>
      <w:lvlJc w:val="left"/>
      <w:pPr>
        <w:ind w:hanging="360" w:left="6480"/>
      </w:pPr>
      <w:rPr>
        <w:rFonts w:cs="Times New Roman"/>
      </w:rPr>
    </w:lvl>
    <w:lvl w:ilvl="5" w:tentative="1" w:tplc="0C09001B">
      <w:start w:val="1"/>
      <w:numFmt w:val="lowerRoman"/>
      <w:lvlText w:val="%6."/>
      <w:lvlJc w:val="right"/>
      <w:pPr>
        <w:ind w:hanging="180" w:left="7200"/>
      </w:pPr>
      <w:rPr>
        <w:rFonts w:cs="Times New Roman"/>
      </w:rPr>
    </w:lvl>
    <w:lvl w:ilvl="6" w:tentative="1" w:tplc="0C09000F">
      <w:start w:val="1"/>
      <w:numFmt w:val="decimal"/>
      <w:lvlText w:val="%7."/>
      <w:lvlJc w:val="left"/>
      <w:pPr>
        <w:ind w:hanging="360" w:left="7920"/>
      </w:pPr>
      <w:rPr>
        <w:rFonts w:cs="Times New Roman"/>
      </w:rPr>
    </w:lvl>
    <w:lvl w:ilvl="7" w:tentative="1" w:tplc="0C090019">
      <w:start w:val="1"/>
      <w:numFmt w:val="lowerLetter"/>
      <w:lvlText w:val="%8."/>
      <w:lvlJc w:val="left"/>
      <w:pPr>
        <w:ind w:hanging="360" w:left="8640"/>
      </w:pPr>
      <w:rPr>
        <w:rFonts w:cs="Times New Roman"/>
      </w:rPr>
    </w:lvl>
    <w:lvl w:ilvl="8" w:tentative="1" w:tplc="0C09001B">
      <w:start w:val="1"/>
      <w:numFmt w:val="lowerRoman"/>
      <w:lvlText w:val="%9."/>
      <w:lvlJc w:val="right"/>
      <w:pPr>
        <w:ind w:hanging="180" w:left="9360"/>
      </w:pPr>
      <w:rPr>
        <w:rFonts w:cs="Times New Roman"/>
      </w:rPr>
    </w:lvl>
  </w:abstractNum>
  <w:abstractNum w15:restartNumberingAfterBreak="0" w:abstractNumId="1">
    <w:nsid w:val="3A5461BE"/>
    <w:multiLevelType w:val="hybridMultilevel"/>
    <w:tmpl w:val="4A24D272"/>
    <w:lvl w:ilvl="0" w:tplc="0C090019">
      <w:start w:val="1"/>
      <w:numFmt w:val="lowerLetter"/>
      <w:lvlText w:val="%1."/>
      <w:lvlJc w:val="left"/>
      <w:pPr>
        <w:ind w:hanging="360" w:left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hanging="360" w:left="1440"/>
      </w:pPr>
      <w:rPr>
        <w:rFonts w:cs="Times New Roman"/>
      </w:rPr>
    </w:lvl>
    <w:lvl w:ilvl="2" w:tentative="1" w:tplc="0C09001B">
      <w:start w:val="1"/>
      <w:numFmt w:val="lowerRoman"/>
      <w:lvlText w:val="%3."/>
      <w:lvlJc w:val="right"/>
      <w:pPr>
        <w:ind w:hanging="180" w:left="2160"/>
      </w:pPr>
      <w:rPr>
        <w:rFonts w:cs="Times New Roman"/>
      </w:rPr>
    </w:lvl>
    <w:lvl w:ilvl="3" w:tentative="1" w:tplc="0C09000F">
      <w:start w:val="1"/>
      <w:numFmt w:val="decimal"/>
      <w:lvlText w:val="%4."/>
      <w:lvlJc w:val="left"/>
      <w:pPr>
        <w:ind w:hanging="360" w:left="2880"/>
      </w:pPr>
      <w:rPr>
        <w:rFonts w:cs="Times New Roman"/>
      </w:rPr>
    </w:lvl>
    <w:lvl w:ilvl="4" w:tentative="1" w:tplc="0C090019">
      <w:start w:val="1"/>
      <w:numFmt w:val="lowerLetter"/>
      <w:lvlText w:val="%5."/>
      <w:lvlJc w:val="left"/>
      <w:pPr>
        <w:ind w:hanging="360" w:left="3600"/>
      </w:pPr>
      <w:rPr>
        <w:rFonts w:cs="Times New Roman"/>
      </w:rPr>
    </w:lvl>
    <w:lvl w:ilvl="5" w:tentative="1" w:tplc="0C09001B">
      <w:start w:val="1"/>
      <w:numFmt w:val="lowerRoman"/>
      <w:lvlText w:val="%6."/>
      <w:lvlJc w:val="right"/>
      <w:pPr>
        <w:ind w:hanging="180" w:left="4320"/>
      </w:pPr>
      <w:rPr>
        <w:rFonts w:cs="Times New Roman"/>
      </w:rPr>
    </w:lvl>
    <w:lvl w:ilvl="6" w:tentative="1" w:tplc="0C09000F">
      <w:start w:val="1"/>
      <w:numFmt w:val="decimal"/>
      <w:lvlText w:val="%7."/>
      <w:lvlJc w:val="left"/>
      <w:pPr>
        <w:ind w:hanging="360" w:left="5040"/>
      </w:pPr>
      <w:rPr>
        <w:rFonts w:cs="Times New Roman"/>
      </w:rPr>
    </w:lvl>
    <w:lvl w:ilvl="7" w:tentative="1" w:tplc="0C090019">
      <w:start w:val="1"/>
      <w:numFmt w:val="lowerLetter"/>
      <w:lvlText w:val="%8."/>
      <w:lvlJc w:val="left"/>
      <w:pPr>
        <w:ind w:hanging="360" w:left="5760"/>
      </w:pPr>
      <w:rPr>
        <w:rFonts w:cs="Times New Roman"/>
      </w:rPr>
    </w:lvl>
    <w:lvl w:ilvl="8" w:tentative="1" w:tplc="0C09001B">
      <w:start w:val="1"/>
      <w:numFmt w:val="lowerRoman"/>
      <w:lvlText w:val="%9."/>
      <w:lvlJc w:val="right"/>
      <w:pPr>
        <w:ind w:hanging="180" w:left="6480"/>
      </w:pPr>
      <w:rPr>
        <w:rFonts w:cs="Times New Roman"/>
      </w:rPr>
    </w:lvl>
  </w:abstractNum>
  <w:abstractNum w15:restartNumberingAfterBreak="0" w:abstractNumId="2">
    <w:nsid w:val="3B00297A"/>
    <w:multiLevelType w:val="hybridMultilevel"/>
    <w:tmpl w:val="E062B416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5D060C12"/>
    <w:multiLevelType w:val="hybridMultilevel"/>
    <w:tmpl w:val="005ADD02"/>
    <w:lvl w:ilvl="0" w:tplc="0C090005">
      <w:start w:val="1"/>
      <w:numFmt w:val="bullet"/>
      <w:lvlText w:val=""/>
      <w:lvlJc w:val="left"/>
      <w:pPr>
        <w:ind w:hanging="360" w:left="720"/>
      </w:pPr>
      <w:rPr>
        <w:rFonts w:ascii="Wingdings" w:hAnsi="Wingdings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6A034499"/>
    <w:multiLevelType w:val="hybridMultilevel"/>
    <w:tmpl w:val="B816B6F6"/>
    <w:lvl w:ilvl="0" w:tplc="0C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5">
    <w:nsid w:val="75714F06"/>
    <w:multiLevelType w:val="hybridMultilevel"/>
    <w:tmpl w:val="B8FAF3CA"/>
    <w:lvl w:ilvl="0" w:tplc="0C090001">
      <w:start w:val="1"/>
      <w:numFmt w:val="bullet"/>
      <w:lvlText w:val=""/>
      <w:lvlJc w:val="left"/>
      <w:pPr>
        <w:ind w:hanging="360" w:left="754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74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94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914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34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54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74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94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51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48"/>
    <w:rsid w:val="0050393B"/>
    <w:rsid w:val="005974FD"/>
    <w:rsid w:val="007478BA"/>
    <w:rsid w:val="008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5:chartTrackingRefBased/>
  <w15:docId w15:val="{AE6C6BC1-7A1D-46E1-8F84-0698EC32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Footer" w:type="paragraph">
    <w:name w:val="footer"/>
    <w:basedOn w:val="Normal"/>
    <w:link w:val="FooterChar"/>
    <w:uiPriority w:val="99"/>
    <w:unhideWhenUsed/>
    <w:rsid w:val="008B3448"/>
    <w:pPr>
      <w:tabs>
        <w:tab w:pos="4513" w:val="center"/>
        <w:tab w:pos="9026" w:val="right"/>
      </w:tabs>
      <w:spacing w:after="0" w:line="240" w:lineRule="auto"/>
    </w:pPr>
    <w:rPr>
      <w:lang w:val="en-GB"/>
    </w:rPr>
  </w:style>
  <w:style w:customStyle="1" w:styleId="FooterChar" w:type="character">
    <w:name w:val="Footer Char"/>
    <w:basedOn w:val="DefaultParagraphFont"/>
    <w:link w:val="Footer"/>
    <w:uiPriority w:val="99"/>
    <w:rsid w:val="008B3448"/>
    <w:rPr>
      <w:lang w:val="en-GB"/>
    </w:rPr>
  </w:style>
  <w:style w:styleId="Header" w:type="paragraph">
    <w:name w:val="header"/>
    <w:basedOn w:val="Normal"/>
    <w:link w:val="HeaderChar"/>
    <w:uiPriority w:val="99"/>
    <w:unhideWhenUsed/>
    <w:rsid w:val="008B3448"/>
    <w:pPr>
      <w:tabs>
        <w:tab w:pos="4513" w:val="center"/>
        <w:tab w:pos="9026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8B3448"/>
  </w:style>
  <w:style w:styleId="Hyperlink" w:type="character">
    <w:name w:val="Hyperlink"/>
    <w:basedOn w:val="DefaultParagraphFont"/>
    <w:uiPriority w:val="99"/>
    <w:unhideWhenUsed/>
    <w:rsid w:val="008B3448"/>
    <w:rPr>
      <w:rFonts w:cs="Times New Roman"/>
      <w:color w:val="0000FF"/>
      <w:u w:val="single"/>
    </w:rPr>
  </w:style>
  <w:style w:styleId="ListParagraph" w:type="paragraph">
    <w:name w:val="List Paragraph"/>
    <w:basedOn w:val="Normal"/>
    <w:uiPriority w:val="34"/>
    <w:qFormat/>
    <w:rsid w:val="0050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1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JPG" Type="http://schemas.openxmlformats.org/officeDocument/2006/relationships/image"/>
<Relationship Id="rId8" Target="media/image2.jpeg" Type="http://schemas.openxmlformats.org/officeDocument/2006/relationships/image"/>
<Relationship Id="rId9" Target="header1.xml" Type="http://schemas.openxmlformats.org/officeDocument/2006/relationships/header"/>
</Relationships>

</file>

<file path=word/_rels/footer1.xml.rels><?xml version="1.0" encoding="UTF-8" standalone="no"?>
<Relationships xmlns="http://schemas.openxmlformats.org/package/2006/relationships">
<Relationship Id="rId1" Target="http://www.research.uwa.edu.au/staff/forms/animal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2020-11-17T02:46:00Z</dcterms:created>
  <dc:creator>Alison Elder</dc:creator>
  <cp:lastModifiedBy>Alison Elder</cp:lastModifiedBy>
  <dcterms:modified xsi:type="dcterms:W3CDTF">2020-11-17T02:46:00Z</dcterms:modified>
  <cp:revision>2</cp:revision>
  <dc:title>Individual Clinical Record Coversheet EXAMPLE</dc:title>
</cp:coreProperties>
</file>