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4AF" w14:textId="77777777" w:rsidR="00507B9B" w:rsidRDefault="00507B9B" w:rsidP="00E316F3">
      <w:pPr>
        <w:spacing w:after="0"/>
        <w:jc w:val="both"/>
        <w:rPr>
          <w:rFonts w:ascii="Calibri" w:eastAsia="Times" w:hAnsi="Calibri" w:cs="Calibri"/>
          <w:b/>
          <w:i/>
          <w:color w:val="000000" w:themeColor="text1"/>
          <w:sz w:val="32"/>
          <w:szCs w:val="32"/>
        </w:rPr>
      </w:pPr>
      <w:r w:rsidRPr="00021296">
        <w:rPr>
          <w:rFonts w:ascii="Calibri" w:eastAsia="Times" w:hAnsi="Calibri" w:cs="Calibri"/>
          <w:b/>
          <w:sz w:val="32"/>
          <w:szCs w:val="32"/>
        </w:rPr>
        <w:t>Position Description –</w:t>
      </w:r>
      <w:r>
        <w:rPr>
          <w:rFonts w:ascii="Calibri" w:eastAsia="Times" w:hAnsi="Calibri" w:cs="Calibri"/>
          <w:b/>
          <w:sz w:val="32"/>
          <w:szCs w:val="32"/>
        </w:rPr>
        <w:t xml:space="preserve"> </w:t>
      </w:r>
      <w:sdt>
        <w:sdtPr>
          <w:rPr>
            <w:rFonts w:ascii="Calibri" w:eastAsia="Times" w:hAnsi="Calibri" w:cs="Calibri"/>
            <w:b/>
            <w:sz w:val="32"/>
            <w:szCs w:val="32"/>
            <w:highlight w:val="yellow"/>
          </w:rPr>
          <w:alias w:val="Position Title"/>
          <w:tag w:val="Pos_Title"/>
          <w:id w:val="587351944"/>
          <w:lock w:val="sdtLocked"/>
          <w:placeholder>
            <w:docPart w:val="E69E098414884F18B1A4EC7A28D059CE"/>
          </w:placeholder>
          <w:text/>
        </w:sdtPr>
        <w:sdtEndPr/>
        <w:sdtContent>
          <w:r w:rsidR="00923B97">
            <w:rPr>
              <w:rFonts w:ascii="Calibri" w:eastAsia="Times" w:hAnsi="Calibri" w:cs="Calibri"/>
              <w:b/>
              <w:sz w:val="32"/>
              <w:szCs w:val="32"/>
              <w:highlight w:val="yellow"/>
            </w:rPr>
            <w:t xml:space="preserve">Senior </w:t>
          </w:r>
          <w:r w:rsidR="00C60E5F">
            <w:rPr>
              <w:rFonts w:ascii="Calibri" w:eastAsia="Times" w:hAnsi="Calibri" w:cs="Calibri"/>
              <w:b/>
              <w:sz w:val="32"/>
              <w:szCs w:val="32"/>
              <w:highlight w:val="yellow"/>
            </w:rPr>
            <w:t xml:space="preserve">Lecturer </w:t>
          </w:r>
          <w:r w:rsidR="003C3343" w:rsidRPr="003C3343">
            <w:rPr>
              <w:rFonts w:ascii="Calibri" w:eastAsia="Times" w:hAnsi="Calibri" w:cs="Calibri"/>
              <w:b/>
              <w:sz w:val="32"/>
              <w:szCs w:val="32"/>
              <w:highlight w:val="yellow"/>
            </w:rPr>
            <w:t xml:space="preserve">in </w:t>
          </w:r>
          <w:r w:rsidR="007B207E">
            <w:rPr>
              <w:rFonts w:ascii="Calibri" w:eastAsia="Times" w:hAnsi="Calibri" w:cs="Calibri"/>
              <w:b/>
              <w:sz w:val="32"/>
              <w:szCs w:val="32"/>
              <w:highlight w:val="yellow"/>
            </w:rPr>
            <w:t>*******</w:t>
          </w:r>
          <w:r w:rsidR="00C97DDA">
            <w:rPr>
              <w:rFonts w:ascii="Calibri" w:eastAsia="Times" w:hAnsi="Calibri" w:cs="Calibri"/>
              <w:b/>
              <w:sz w:val="32"/>
              <w:szCs w:val="32"/>
              <w:highlight w:val="yellow"/>
            </w:rPr>
            <w:t xml:space="preserve"> </w:t>
          </w:r>
        </w:sdtContent>
      </w:sdt>
    </w:p>
    <w:p w14:paraId="16DBC3BD" w14:textId="38F4228F" w:rsidR="00995F92" w:rsidRPr="00995F92" w:rsidRDefault="00507B9B" w:rsidP="00995F92">
      <w:pPr>
        <w:spacing w:before="0" w:after="120"/>
        <w:jc w:val="both"/>
        <w:rPr>
          <w:rFonts w:ascii="Calibri" w:eastAsia="Times" w:hAnsi="Calibri" w:cs="Calibri"/>
          <w:i/>
          <w:color w:val="000000" w:themeColor="text1"/>
        </w:rPr>
      </w:pPr>
      <w:r w:rsidRPr="0005108B">
        <w:rPr>
          <w:rFonts w:ascii="Calibri" w:eastAsia="Times" w:hAnsi="Calibri" w:cs="Calibri"/>
          <w:i/>
          <w:color w:val="000000" w:themeColor="text1"/>
        </w:rPr>
        <w:t xml:space="preserve">Updated </w:t>
      </w:r>
      <w:r>
        <w:rPr>
          <w:rFonts w:ascii="Calibri" w:eastAsia="Times" w:hAnsi="Calibri" w:cs="Calibri"/>
          <w:i/>
          <w:color w:val="000000" w:themeColor="text1"/>
        </w:rPr>
        <w:fldChar w:fldCharType="begin"/>
      </w:r>
      <w:r>
        <w:rPr>
          <w:rFonts w:ascii="Calibri" w:eastAsia="Times" w:hAnsi="Calibri" w:cs="Calibri"/>
          <w:i/>
          <w:color w:val="000000" w:themeColor="text1"/>
        </w:rPr>
        <w:instrText xml:space="preserve"> DATE \@ "d MMMM yyyy" </w:instrText>
      </w:r>
      <w:r>
        <w:rPr>
          <w:rFonts w:ascii="Calibri" w:eastAsia="Times" w:hAnsi="Calibri" w:cs="Calibri"/>
          <w:i/>
          <w:color w:val="000000" w:themeColor="text1"/>
        </w:rPr>
        <w:fldChar w:fldCharType="separate"/>
      </w:r>
      <w:r w:rsidR="008A31FB">
        <w:rPr>
          <w:rFonts w:ascii="Calibri" w:eastAsia="Times" w:hAnsi="Calibri" w:cs="Calibri"/>
          <w:i/>
          <w:noProof/>
          <w:color w:val="000000" w:themeColor="text1"/>
        </w:rPr>
        <w:t>25 October 2022</w:t>
      </w:r>
      <w:r>
        <w:rPr>
          <w:rFonts w:ascii="Calibri" w:eastAsia="Times" w:hAnsi="Calibri" w:cs="Calibri"/>
          <w:i/>
          <w:color w:val="000000" w:themeColor="text1"/>
        </w:rPr>
        <w:fldChar w:fldCharType="end"/>
      </w:r>
    </w:p>
    <w:tbl>
      <w:tblPr>
        <w:tblStyle w:val="TableGrid"/>
        <w:tblW w:w="10031" w:type="dxa"/>
        <w:tblLook w:val="04A0" w:firstRow="1" w:lastRow="0" w:firstColumn="1" w:lastColumn="0" w:noHBand="0" w:noVBand="1"/>
      </w:tblPr>
      <w:tblGrid>
        <w:gridCol w:w="3681"/>
        <w:gridCol w:w="6350"/>
      </w:tblGrid>
      <w:tr w:rsidR="00507B9B" w:rsidRPr="00AF6F25" w14:paraId="40F29BC5" w14:textId="77777777" w:rsidTr="00EC4E6E">
        <w:tc>
          <w:tcPr>
            <w:tcW w:w="10031" w:type="dxa"/>
            <w:gridSpan w:val="2"/>
            <w:shd w:val="clear" w:color="auto" w:fill="002F60"/>
          </w:tcPr>
          <w:p w14:paraId="07F0EE4C" w14:textId="77777777" w:rsidR="00507B9B" w:rsidRPr="00507B9B" w:rsidRDefault="00507B9B" w:rsidP="00C22F0B">
            <w:pPr>
              <w:pStyle w:val="Heading1"/>
              <w:keepNext/>
              <w:outlineLvl w:val="0"/>
            </w:pPr>
            <w:r w:rsidRPr="00507B9B">
              <w:t>POSITION DETAILS</w:t>
            </w:r>
          </w:p>
        </w:tc>
      </w:tr>
      <w:tr w:rsidR="00507B9B" w:rsidRPr="00AF6F25" w14:paraId="70B294C5" w14:textId="77777777" w:rsidTr="00EC4E6E">
        <w:trPr>
          <w:trHeight w:val="227"/>
        </w:trPr>
        <w:tc>
          <w:tcPr>
            <w:tcW w:w="3681" w:type="dxa"/>
            <w:vAlign w:val="center"/>
          </w:tcPr>
          <w:p w14:paraId="364EBD51" w14:textId="77777777" w:rsidR="00507B9B" w:rsidRPr="00AF6F25" w:rsidRDefault="00507B9B" w:rsidP="003C3343">
            <w:pPr>
              <w:keepNext/>
              <w:spacing w:after="120"/>
              <w:jc w:val="both"/>
              <w:rPr>
                <w:rFonts w:ascii="Calibri" w:eastAsia="Times New Roman" w:hAnsi="Calibri" w:cs="Calibri"/>
                <w:b/>
              </w:rPr>
            </w:pPr>
            <w:r>
              <w:rPr>
                <w:rFonts w:ascii="Calibri" w:eastAsia="Times New Roman" w:hAnsi="Calibri" w:cs="Calibri"/>
                <w:b/>
              </w:rPr>
              <w:t>College</w:t>
            </w:r>
          </w:p>
        </w:tc>
        <w:sdt>
          <w:sdtPr>
            <w:rPr>
              <w:rFonts w:ascii="Calibri" w:eastAsia="Times New Roman" w:hAnsi="Calibri" w:cs="Calibri"/>
              <w:b/>
              <w:color w:val="000000" w:themeColor="text1"/>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05C1A3B9" w14:textId="00304956" w:rsidR="00507B9B" w:rsidRPr="001F1A37" w:rsidRDefault="00F35F55" w:rsidP="00C22F0B">
                <w:pPr>
                  <w:keepNext/>
                  <w:spacing w:after="120"/>
                  <w:jc w:val="both"/>
                  <w:rPr>
                    <w:rFonts w:ascii="Calibri" w:eastAsia="Times New Roman" w:hAnsi="Calibri" w:cs="Calibri"/>
                    <w:b/>
                    <w:color w:val="000000" w:themeColor="text1"/>
                  </w:rPr>
                </w:pPr>
                <w:r w:rsidRPr="00F35F55">
                  <w:rPr>
                    <w:rStyle w:val="PlaceholderText"/>
                    <w:highlight w:val="yellow"/>
                  </w:rPr>
                  <w:t>Choose an item.</w:t>
                </w:r>
              </w:p>
            </w:tc>
          </w:sdtContent>
        </w:sdt>
      </w:tr>
      <w:tr w:rsidR="00507B9B" w:rsidRPr="00AF6F25" w14:paraId="2678AD8A" w14:textId="77777777" w:rsidTr="00EC4E6E">
        <w:trPr>
          <w:trHeight w:val="227"/>
        </w:trPr>
        <w:tc>
          <w:tcPr>
            <w:tcW w:w="3681" w:type="dxa"/>
            <w:vAlign w:val="center"/>
          </w:tcPr>
          <w:p w14:paraId="0E023BFC" w14:textId="77777777" w:rsidR="00507B9B" w:rsidRPr="00AF6F25" w:rsidRDefault="00507B9B" w:rsidP="00EC4E6E">
            <w:pPr>
              <w:spacing w:after="120"/>
              <w:jc w:val="both"/>
              <w:rPr>
                <w:rFonts w:ascii="Calibri" w:eastAsia="Times New Roman" w:hAnsi="Calibri" w:cs="Calibri"/>
                <w:b/>
              </w:rPr>
            </w:pPr>
            <w:r>
              <w:rPr>
                <w:rFonts w:ascii="Calibri" w:eastAsia="Times New Roman" w:hAnsi="Calibri" w:cs="Calibri"/>
                <w:b/>
              </w:rPr>
              <w:t>Organisational Unit</w:t>
            </w:r>
          </w:p>
        </w:tc>
        <w:sdt>
          <w:sdtPr>
            <w:rPr>
              <w:rFonts w:ascii="Calibri" w:eastAsia="Times New Roman" w:hAnsi="Calibri" w:cs="Calibri"/>
              <w:b/>
              <w:color w:val="000000" w:themeColor="text1"/>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06C3F41D" w14:textId="77777777" w:rsidR="00507B9B" w:rsidRPr="001F1A37" w:rsidRDefault="007B207E" w:rsidP="007B207E">
                <w:pPr>
                  <w:spacing w:after="120"/>
                  <w:jc w:val="both"/>
                  <w:rPr>
                    <w:rFonts w:ascii="Calibri" w:eastAsia="Times New Roman" w:hAnsi="Calibri" w:cs="Calibri"/>
                    <w:b/>
                    <w:color w:val="000000" w:themeColor="text1"/>
                  </w:rPr>
                </w:pPr>
                <w:r>
                  <w:rPr>
                    <w:rFonts w:ascii="Calibri" w:eastAsia="Times New Roman" w:hAnsi="Calibri" w:cs="Calibri"/>
                    <w:b/>
                    <w:color w:val="000000" w:themeColor="text1"/>
                    <w:highlight w:val="yellow"/>
                  </w:rPr>
                  <w:t>Discipline Area</w:t>
                </w:r>
              </w:p>
            </w:tc>
          </w:sdtContent>
        </w:sdt>
      </w:tr>
      <w:tr w:rsidR="00507B9B" w:rsidRPr="00AF6F25" w14:paraId="29ADACF8" w14:textId="77777777" w:rsidTr="00EC4E6E">
        <w:trPr>
          <w:trHeight w:val="227"/>
        </w:trPr>
        <w:tc>
          <w:tcPr>
            <w:tcW w:w="3681" w:type="dxa"/>
            <w:vAlign w:val="center"/>
          </w:tcPr>
          <w:p w14:paraId="7EA65907" w14:textId="77777777" w:rsidR="00507B9B" w:rsidRPr="00AF6F25" w:rsidRDefault="00507B9B" w:rsidP="003C3343">
            <w:pPr>
              <w:spacing w:after="120"/>
              <w:jc w:val="both"/>
              <w:rPr>
                <w:rFonts w:ascii="Calibri" w:eastAsia="Times New Roman" w:hAnsi="Calibri" w:cs="Calibri"/>
                <w:b/>
              </w:rPr>
            </w:pPr>
            <w:r w:rsidRPr="00AF6F25">
              <w:rPr>
                <w:rFonts w:ascii="Calibri" w:eastAsia="Times New Roman" w:hAnsi="Calibri" w:cs="Calibri"/>
                <w:b/>
              </w:rPr>
              <w:t xml:space="preserve">Supervisor </w:t>
            </w:r>
          </w:p>
        </w:tc>
        <w:sdt>
          <w:sdtPr>
            <w:rPr>
              <w:rFonts w:ascii="Calibri" w:eastAsia="Times New Roman" w:hAnsi="Calibri" w:cs="Calibri"/>
              <w:b/>
              <w:color w:val="000000" w:themeColor="text1"/>
            </w:rPr>
            <w:alias w:val="Supervisor Title"/>
            <w:tag w:val="SupTitle"/>
            <w:id w:val="1335116356"/>
            <w:lock w:val="sdtLocked"/>
            <w:placeholder>
              <w:docPart w:val="E69E098414884F18B1A4EC7A28D059CE"/>
            </w:placeholder>
            <w:text/>
          </w:sdtPr>
          <w:sdtEndPr/>
          <w:sdtContent>
            <w:tc>
              <w:tcPr>
                <w:tcW w:w="6350" w:type="dxa"/>
                <w:vAlign w:val="center"/>
              </w:tcPr>
              <w:p w14:paraId="4EB24FD6" w14:textId="77777777" w:rsidR="00507B9B" w:rsidRPr="001F1A37" w:rsidRDefault="002229D9" w:rsidP="00EC4E6E">
                <w:pPr>
                  <w:spacing w:after="120"/>
                  <w:jc w:val="both"/>
                  <w:rPr>
                    <w:rFonts w:ascii="Calibri" w:eastAsia="Times New Roman" w:hAnsi="Calibri" w:cs="Calibri"/>
                    <w:b/>
                    <w:color w:val="000000" w:themeColor="text1"/>
                  </w:rPr>
                </w:pPr>
                <w:r>
                  <w:rPr>
                    <w:rFonts w:ascii="Calibri" w:eastAsia="Times New Roman" w:hAnsi="Calibri" w:cs="Calibri"/>
                    <w:b/>
                    <w:color w:val="000000" w:themeColor="text1"/>
                  </w:rPr>
                  <w:t>Dean, People and Resources (or Delegate)</w:t>
                </w:r>
              </w:p>
            </w:tc>
          </w:sdtContent>
        </w:sdt>
      </w:tr>
      <w:tr w:rsidR="00507B9B" w:rsidRPr="00AF6F25" w14:paraId="7480E370" w14:textId="77777777" w:rsidTr="00EC4E6E">
        <w:trPr>
          <w:trHeight w:val="227"/>
        </w:trPr>
        <w:tc>
          <w:tcPr>
            <w:tcW w:w="3681" w:type="dxa"/>
            <w:vAlign w:val="center"/>
          </w:tcPr>
          <w:p w14:paraId="06D172F9" w14:textId="77777777" w:rsidR="00507B9B" w:rsidRPr="00AF6F25" w:rsidRDefault="00507B9B" w:rsidP="00EC4E6E">
            <w:pPr>
              <w:spacing w:after="120"/>
              <w:jc w:val="both"/>
              <w:rPr>
                <w:rFonts w:ascii="Calibri" w:eastAsia="Times New Roman" w:hAnsi="Calibri" w:cs="Calibri"/>
                <w:b/>
              </w:rPr>
            </w:pPr>
            <w:r w:rsidRPr="00AF6F25">
              <w:rPr>
                <w:rFonts w:ascii="Calibri" w:eastAsia="Times New Roman" w:hAnsi="Calibri" w:cs="Calibri"/>
                <w:b/>
              </w:rPr>
              <w:t>Classification</w:t>
            </w:r>
          </w:p>
        </w:tc>
        <w:tc>
          <w:tcPr>
            <w:tcW w:w="6350" w:type="dxa"/>
            <w:vAlign w:val="center"/>
          </w:tcPr>
          <w:p w14:paraId="2C347BDF" w14:textId="4A7E5451" w:rsidR="00507B9B" w:rsidRPr="001F1A37" w:rsidRDefault="00624C04" w:rsidP="00C97DDA">
            <w:pPr>
              <w:spacing w:after="120"/>
              <w:jc w:val="both"/>
              <w:rPr>
                <w:rFonts w:ascii="Calibri" w:eastAsia="Times New Roman" w:hAnsi="Calibri" w:cs="Calibri"/>
                <w:b/>
                <w:color w:val="000000" w:themeColor="text1"/>
              </w:rPr>
            </w:pPr>
            <w:sdt>
              <w:sdtPr>
                <w:rPr>
                  <w:rFonts w:ascii="Calibri" w:eastAsia="Times New Roman" w:hAnsi="Calibri" w:cs="Calibri"/>
                  <w:b/>
                  <w:color w:val="000000" w:themeColor="text1"/>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066B5D">
                  <w:rPr>
                    <w:rFonts w:ascii="Calibri" w:eastAsia="Times New Roman" w:hAnsi="Calibri" w:cs="Calibri"/>
                    <w:b/>
                    <w:color w:val="000000" w:themeColor="text1"/>
                  </w:rPr>
                  <w:t>Teaching Specialist (</w:t>
                </w:r>
                <w:r w:rsidR="007C2047">
                  <w:rPr>
                    <w:rFonts w:ascii="Calibri" w:eastAsia="Times New Roman" w:hAnsi="Calibri" w:cs="Calibri"/>
                    <w:b/>
                    <w:color w:val="000000" w:themeColor="text1"/>
                  </w:rPr>
                  <w:t>Practitioner</w:t>
                </w:r>
                <w:r w:rsidR="00066B5D">
                  <w:rPr>
                    <w:rFonts w:ascii="Calibri" w:eastAsia="Times New Roman" w:hAnsi="Calibri" w:cs="Calibri"/>
                    <w:b/>
                    <w:color w:val="000000" w:themeColor="text1"/>
                  </w:rPr>
                  <w:t>)</w:t>
                </w:r>
              </w:sdtContent>
            </w:sdt>
            <w:r w:rsidR="00BA1588">
              <w:rPr>
                <w:rFonts w:ascii="Calibri" w:eastAsia="Times New Roman" w:hAnsi="Calibri" w:cs="Calibri"/>
                <w:b/>
                <w:color w:val="000000" w:themeColor="text1"/>
              </w:rPr>
              <w:t xml:space="preserve"> </w:t>
            </w:r>
            <w:sdt>
              <w:sdtPr>
                <w:rPr>
                  <w:rFonts w:ascii="Calibri" w:eastAsia="Times New Roman" w:hAnsi="Calibri" w:cs="Calibri"/>
                  <w:b/>
                  <w:color w:val="000000" w:themeColor="text1"/>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923B97">
                  <w:rPr>
                    <w:rFonts w:ascii="Calibri" w:eastAsia="Times New Roman" w:hAnsi="Calibri" w:cs="Calibri"/>
                    <w:b/>
                    <w:color w:val="000000" w:themeColor="text1"/>
                  </w:rPr>
                  <w:t>Level C</w:t>
                </w:r>
              </w:sdtContent>
            </w:sdt>
          </w:p>
        </w:tc>
      </w:tr>
      <w:tr w:rsidR="00507B9B" w:rsidRPr="00AF6F25" w14:paraId="3D9C9253" w14:textId="77777777" w:rsidTr="00EC4E6E">
        <w:trPr>
          <w:trHeight w:val="227"/>
        </w:trPr>
        <w:tc>
          <w:tcPr>
            <w:tcW w:w="3681" w:type="dxa"/>
            <w:vAlign w:val="center"/>
          </w:tcPr>
          <w:p w14:paraId="0FA24031" w14:textId="77777777" w:rsidR="00507B9B" w:rsidRPr="00AF6F25" w:rsidRDefault="00507B9B" w:rsidP="00EC4E6E">
            <w:pPr>
              <w:spacing w:after="120"/>
              <w:jc w:val="both"/>
              <w:rPr>
                <w:rFonts w:ascii="Calibri" w:eastAsia="Times New Roman" w:hAnsi="Calibri" w:cs="Calibri"/>
                <w:b/>
              </w:rPr>
            </w:pPr>
            <w:r w:rsidRPr="00AF6F25">
              <w:rPr>
                <w:rFonts w:ascii="Calibri" w:eastAsia="Times New Roman" w:hAnsi="Calibri" w:cs="Calibri"/>
                <w:b/>
              </w:rPr>
              <w:t>Employment Type</w:t>
            </w:r>
          </w:p>
        </w:tc>
        <w:tc>
          <w:tcPr>
            <w:tcW w:w="6350" w:type="dxa"/>
            <w:vAlign w:val="center"/>
          </w:tcPr>
          <w:p w14:paraId="5E855F0E" w14:textId="77777777" w:rsidR="00507B9B" w:rsidRPr="001F1A37" w:rsidRDefault="00624C04" w:rsidP="003C3343">
            <w:pPr>
              <w:spacing w:after="120"/>
              <w:ind w:right="-23"/>
              <w:jc w:val="both"/>
              <w:rPr>
                <w:rFonts w:ascii="Calibri" w:hAnsi="Calibri" w:cs="Calibri"/>
                <w:color w:val="000000" w:themeColor="text1"/>
              </w:rPr>
            </w:pPr>
            <w:sdt>
              <w:sdtPr>
                <w:rPr>
                  <w:rFonts w:ascii="Calibri" w:eastAsia="Times New Roman" w:hAnsi="Calibri" w:cs="Calibri"/>
                  <w:b/>
                  <w:color w:val="000000" w:themeColor="text1"/>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F35F55">
                  <w:rPr>
                    <w:rStyle w:val="PlaceholderText"/>
                    <w:highlight w:val="yellow"/>
                  </w:rPr>
                  <w:t>Choose an item.</w:t>
                </w:r>
              </w:sdtContent>
            </w:sdt>
            <w:r w:rsidR="00507B9B">
              <w:rPr>
                <w:rFonts w:ascii="Calibri" w:eastAsia="Times New Roman" w:hAnsi="Calibri" w:cs="Calibri"/>
                <w:b/>
                <w:color w:val="000000" w:themeColor="text1"/>
              </w:rPr>
              <w:t xml:space="preserve">, </w:t>
            </w:r>
            <w:sdt>
              <w:sdtPr>
                <w:rPr>
                  <w:rFonts w:ascii="Calibri" w:eastAsia="Times New Roman" w:hAnsi="Calibri" w:cs="Calibri"/>
                  <w:b/>
                  <w:color w:val="000000" w:themeColor="text1"/>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F35F55">
                  <w:rPr>
                    <w:rStyle w:val="PlaceholderText"/>
                    <w:highlight w:val="yellow"/>
                  </w:rPr>
                  <w:t>Choose an item.</w:t>
                </w:r>
              </w:sdtContent>
            </w:sdt>
          </w:p>
        </w:tc>
      </w:tr>
    </w:tbl>
    <w:p w14:paraId="3AA645C1" w14:textId="77777777" w:rsidR="00507B9B" w:rsidRPr="00254C8E" w:rsidRDefault="00507B9B" w:rsidP="00507B9B">
      <w:pPr>
        <w:pStyle w:val="NoSpacing"/>
        <w:rPr>
          <w:sz w:val="4"/>
          <w:szCs w:val="4"/>
        </w:rPr>
      </w:pPr>
    </w:p>
    <w:tbl>
      <w:tblPr>
        <w:tblStyle w:val="TableGrid"/>
        <w:tblW w:w="10031" w:type="dxa"/>
        <w:tblLook w:val="04A0" w:firstRow="1" w:lastRow="0" w:firstColumn="1" w:lastColumn="0" w:noHBand="0" w:noVBand="1"/>
      </w:tblPr>
      <w:tblGrid>
        <w:gridCol w:w="10031"/>
      </w:tblGrid>
      <w:tr w:rsidR="00507B9B" w:rsidRPr="00F32930" w14:paraId="76AE6E13" w14:textId="77777777" w:rsidTr="00EC4E6E">
        <w:tc>
          <w:tcPr>
            <w:tcW w:w="10031" w:type="dxa"/>
            <w:shd w:val="clear" w:color="auto" w:fill="002F60"/>
          </w:tcPr>
          <w:p w14:paraId="17CEE185" w14:textId="77777777" w:rsidR="00507B9B" w:rsidRPr="0017075E" w:rsidRDefault="00507B9B" w:rsidP="009D1BC1">
            <w:pPr>
              <w:pStyle w:val="Heading1"/>
              <w:keepNext/>
              <w:outlineLvl w:val="0"/>
            </w:pPr>
            <w:r>
              <w:t>POSITION</w:t>
            </w:r>
            <w:r w:rsidRPr="00A87573">
              <w:t xml:space="preserve"> SUMMARY</w:t>
            </w:r>
          </w:p>
        </w:tc>
      </w:tr>
      <w:tr w:rsidR="00507B9B" w:rsidRPr="008B15DA" w14:paraId="2F48EB43" w14:textId="77777777" w:rsidTr="00EC4E6E">
        <w:tc>
          <w:tcPr>
            <w:tcW w:w="10031" w:type="dxa"/>
          </w:tcPr>
          <w:p w14:paraId="1CC1C90A" w14:textId="1DF6B0C1" w:rsidR="00036C76" w:rsidRDefault="00036C76" w:rsidP="00CB1489">
            <w:pPr>
              <w:ind w:right="-23"/>
              <w:jc w:val="both"/>
              <w:rPr>
                <w:rFonts w:eastAsia="Times New Roman" w:cs="Calibri"/>
                <w:color w:val="000000" w:themeColor="text1"/>
              </w:rPr>
            </w:pPr>
            <w:r w:rsidRPr="00036C76">
              <w:rPr>
                <w:rFonts w:eastAsia="Times New Roman" w:cs="Calibri"/>
                <w:color w:val="000000" w:themeColor="text1"/>
              </w:rPr>
              <w:t>This Teaching Specialist (</w:t>
            </w:r>
            <w:r w:rsidR="007C2047">
              <w:rPr>
                <w:rFonts w:eastAsia="Times New Roman" w:cs="Calibri"/>
                <w:color w:val="000000" w:themeColor="text1"/>
              </w:rPr>
              <w:t>Practitioner</w:t>
            </w:r>
            <w:r w:rsidRPr="00036C76">
              <w:rPr>
                <w:rFonts w:eastAsia="Times New Roman" w:cs="Calibri"/>
                <w:color w:val="000000" w:themeColor="text1"/>
              </w:rPr>
              <w:t xml:space="preserve">) position, with its primary focus on teaching and teaching-related activities </w:t>
            </w:r>
            <w:r w:rsidR="007C2047">
              <w:rPr>
                <w:rFonts w:eastAsia="Times New Roman" w:cs="Calibri"/>
                <w:color w:val="000000" w:themeColor="text1"/>
              </w:rPr>
              <w:t>drawing on contemporary/professional practice,</w:t>
            </w:r>
            <w:r w:rsidR="007C2047" w:rsidRPr="002229D9">
              <w:rPr>
                <w:rFonts w:eastAsia="Times New Roman" w:cs="Calibri"/>
                <w:color w:val="000000" w:themeColor="text1"/>
              </w:rPr>
              <w:t xml:space="preserve"> has an important role to play in the University’s achievement of its strategic plan, Making a Difference: The 2025 Agenda.</w:t>
            </w:r>
          </w:p>
          <w:p w14:paraId="514A3B1B" w14:textId="77777777" w:rsidR="00036C76" w:rsidRDefault="00036C76" w:rsidP="00036C76">
            <w:pPr>
              <w:ind w:right="-23"/>
              <w:jc w:val="both"/>
              <w:rPr>
                <w:rFonts w:eastAsia="Times New Roman" w:cs="Calibri"/>
                <w:color w:val="000000" w:themeColor="text1"/>
              </w:rPr>
            </w:pPr>
            <w:r w:rsidRPr="00036C76">
              <w:rPr>
                <w:rFonts w:eastAsia="Times New Roman" w:cs="Calibri"/>
                <w:color w:val="000000" w:themeColor="text1"/>
              </w:rPr>
              <w:t>The University is committed to a student-centred ethos and to developing creative, enterprising, career-ready graduates prepared to become lifelong contributors to society.  In accordance with the strategic plan, the University seeks to:</w:t>
            </w:r>
          </w:p>
          <w:p w14:paraId="27CA56AC" w14:textId="77777777" w:rsidR="00036C76" w:rsidRPr="00036C76" w:rsidRDefault="00036C76" w:rsidP="00036C76">
            <w:pPr>
              <w:pStyle w:val="ListParagraph"/>
              <w:numPr>
                <w:ilvl w:val="0"/>
                <w:numId w:val="10"/>
              </w:numPr>
              <w:ind w:right="-23"/>
              <w:jc w:val="both"/>
              <w:rPr>
                <w:rFonts w:eastAsia="Times New Roman" w:cs="Calibri"/>
                <w:color w:val="000000" w:themeColor="text1"/>
              </w:rPr>
            </w:pPr>
            <w:r w:rsidRPr="00036C76">
              <w:rPr>
                <w:rFonts w:eastAsia="Times New Roman" w:cs="Calibri"/>
                <w:color w:val="000000" w:themeColor="text1"/>
              </w:rPr>
              <w:t xml:space="preserve">deliver a richly interactive and personalised approach to learning focussed on student </w:t>
            </w:r>
            <w:proofErr w:type="gramStart"/>
            <w:r w:rsidRPr="00036C76">
              <w:rPr>
                <w:rFonts w:eastAsia="Times New Roman" w:cs="Calibri"/>
                <w:color w:val="000000" w:themeColor="text1"/>
              </w:rPr>
              <w:t>success;</w:t>
            </w:r>
            <w:proofErr w:type="gramEnd"/>
            <w:r w:rsidRPr="00036C76">
              <w:rPr>
                <w:rFonts w:eastAsia="Times New Roman" w:cs="Calibri"/>
                <w:color w:val="000000" w:themeColor="text1"/>
              </w:rPr>
              <w:t xml:space="preserve"> </w:t>
            </w:r>
          </w:p>
          <w:p w14:paraId="186BD27D" w14:textId="77777777" w:rsidR="00036C76" w:rsidRPr="00036C76" w:rsidRDefault="00036C76" w:rsidP="00036C76">
            <w:pPr>
              <w:pStyle w:val="ListParagraph"/>
              <w:numPr>
                <w:ilvl w:val="0"/>
                <w:numId w:val="10"/>
              </w:numPr>
              <w:ind w:right="-23"/>
              <w:jc w:val="both"/>
              <w:rPr>
                <w:rFonts w:eastAsia="Times New Roman" w:cs="Calibri"/>
                <w:color w:val="000000" w:themeColor="text1"/>
              </w:rPr>
            </w:pPr>
            <w:r w:rsidRPr="00036C76">
              <w:rPr>
                <w:rFonts w:eastAsia="Times New Roman" w:cs="Calibri"/>
                <w:color w:val="000000" w:themeColor="text1"/>
              </w:rPr>
              <w:t>be an international leader in educational innovation, advanced learning technologies and learning analytics; and</w:t>
            </w:r>
          </w:p>
          <w:p w14:paraId="7B76BC41" w14:textId="77777777" w:rsidR="00036C76" w:rsidRPr="00036C76" w:rsidRDefault="00036C76" w:rsidP="00036C76">
            <w:pPr>
              <w:pStyle w:val="ListParagraph"/>
              <w:numPr>
                <w:ilvl w:val="0"/>
                <w:numId w:val="10"/>
              </w:numPr>
              <w:ind w:right="-23"/>
              <w:jc w:val="both"/>
              <w:rPr>
                <w:rFonts w:eastAsia="Times New Roman" w:cs="Calibri"/>
                <w:color w:val="000000" w:themeColor="text1"/>
              </w:rPr>
            </w:pPr>
            <w:r w:rsidRPr="00036C76">
              <w:rPr>
                <w:rFonts w:eastAsia="Times New Roman" w:cs="Calibri"/>
                <w:color w:val="000000" w:themeColor="text1"/>
              </w:rPr>
              <w:t>develop enterprising graduates equipped with the skills required for success in the knowledge economy.</w:t>
            </w:r>
          </w:p>
          <w:p w14:paraId="15210852" w14:textId="77777777" w:rsidR="002E3364" w:rsidRPr="00980440" w:rsidRDefault="00036C76" w:rsidP="00CB1489">
            <w:pPr>
              <w:ind w:right="-23"/>
              <w:jc w:val="both"/>
              <w:rPr>
                <w:rFonts w:eastAsia="Times New Roman" w:cs="Calibri"/>
                <w:color w:val="000000" w:themeColor="text1"/>
              </w:rPr>
            </w:pPr>
            <w:r w:rsidRPr="00036C76">
              <w:rPr>
                <w:rFonts w:eastAsia="Times New Roman" w:cs="Calibri"/>
                <w:color w:val="000000" w:themeColor="text1"/>
              </w:rPr>
              <w:t xml:space="preserve">The Senior Lecturer will provide leadership in delivering excellence in teaching and learning across the suite </w:t>
            </w:r>
            <w:proofErr w:type="gramStart"/>
            <w:r w:rsidRPr="00036C76">
              <w:rPr>
                <w:rFonts w:eastAsia="Times New Roman" w:cs="Calibri"/>
                <w:color w:val="000000" w:themeColor="text1"/>
              </w:rPr>
              <w:t xml:space="preserve">of  </w:t>
            </w:r>
            <w:r w:rsidRPr="00036C76">
              <w:rPr>
                <w:rFonts w:eastAsia="Times New Roman" w:cs="Calibri"/>
                <w:color w:val="000000" w:themeColor="text1"/>
                <w:highlight w:val="yellow"/>
              </w:rPr>
              <w:t>DISCIPLINE</w:t>
            </w:r>
            <w:proofErr w:type="gramEnd"/>
            <w:r w:rsidRPr="00036C76">
              <w:rPr>
                <w:rFonts w:eastAsia="Times New Roman" w:cs="Calibri"/>
                <w:color w:val="000000" w:themeColor="text1"/>
              </w:rPr>
              <w:t xml:space="preserve"> topics and courses in the </w:t>
            </w:r>
            <w:r w:rsidRPr="00036C76">
              <w:rPr>
                <w:rFonts w:eastAsia="Times New Roman" w:cs="Calibri"/>
                <w:color w:val="000000" w:themeColor="text1"/>
                <w:highlight w:val="yellow"/>
              </w:rPr>
              <w:t>DISCIPLINE</w:t>
            </w:r>
            <w:r w:rsidRPr="00036C76">
              <w:rPr>
                <w:rFonts w:eastAsia="Times New Roman" w:cs="Calibri"/>
                <w:color w:val="000000" w:themeColor="text1"/>
              </w:rPr>
              <w:t>. The Senior Lecturer will be responsible for making a significant and wide-ranging contribution to leadership in teaching and scholarship of teaching using innovations in teaching practices and technologies to deliver excellence in teaching. The Senior Lecturer will also have a key leadership role in service to the College and/or University.</w:t>
            </w:r>
          </w:p>
        </w:tc>
      </w:tr>
    </w:tbl>
    <w:p w14:paraId="1B762908" w14:textId="77777777" w:rsidR="00507B9B" w:rsidRPr="00254C8E" w:rsidRDefault="00507B9B" w:rsidP="00507B9B">
      <w:pPr>
        <w:pStyle w:val="NoSpacing"/>
        <w:rPr>
          <w:sz w:val="4"/>
          <w:szCs w:val="4"/>
        </w:rPr>
      </w:pPr>
    </w:p>
    <w:tbl>
      <w:tblPr>
        <w:tblStyle w:val="TableGrid"/>
        <w:tblW w:w="10031" w:type="dxa"/>
        <w:tblLook w:val="04A0" w:firstRow="1" w:lastRow="0" w:firstColumn="1" w:lastColumn="0" w:noHBand="0" w:noVBand="1"/>
      </w:tblPr>
      <w:tblGrid>
        <w:gridCol w:w="10031"/>
      </w:tblGrid>
      <w:tr w:rsidR="00507B9B" w:rsidRPr="008B15DA" w14:paraId="649BE626" w14:textId="77777777" w:rsidTr="00EC4E6E">
        <w:tc>
          <w:tcPr>
            <w:tcW w:w="10031" w:type="dxa"/>
            <w:shd w:val="clear" w:color="auto" w:fill="002F60"/>
          </w:tcPr>
          <w:p w14:paraId="1F10DA85" w14:textId="77777777" w:rsidR="00507B9B" w:rsidRPr="008B15DA" w:rsidRDefault="00507B9B" w:rsidP="009D1BC1">
            <w:pPr>
              <w:pStyle w:val="Heading1"/>
              <w:keepNext/>
              <w:outlineLvl w:val="0"/>
            </w:pPr>
            <w:r w:rsidRPr="008B15DA">
              <w:t>UNIVERSITY EXPECTATIONS AND VALUES</w:t>
            </w:r>
          </w:p>
        </w:tc>
      </w:tr>
      <w:tr w:rsidR="00507B9B" w:rsidRPr="008B15DA" w14:paraId="4A48F746" w14:textId="77777777" w:rsidTr="00EC4E6E">
        <w:tc>
          <w:tcPr>
            <w:tcW w:w="10031" w:type="dxa"/>
          </w:tcPr>
          <w:p w14:paraId="4BD924BC" w14:textId="77777777" w:rsidR="00507B9B" w:rsidRPr="00DC11C8" w:rsidRDefault="00507B9B" w:rsidP="009217CE">
            <w:pPr>
              <w:ind w:right="-23"/>
              <w:jc w:val="both"/>
              <w:rPr>
                <w:rFonts w:ascii="Calibri" w:hAnsi="Calibri"/>
              </w:rPr>
            </w:pPr>
            <w:r w:rsidRPr="00DC11C8">
              <w:rPr>
                <w:rFonts w:ascii="Calibri" w:hAnsi="Calibri"/>
              </w:rPr>
              <w:t>All staff at Flinders are responsible for understanding their obligations and responsibilities as set out in the University’s code of conduct and are expected to:</w:t>
            </w:r>
          </w:p>
          <w:p w14:paraId="64630D79" w14:textId="77777777" w:rsidR="00507B9B" w:rsidRPr="00DC11C8" w:rsidRDefault="00507B9B" w:rsidP="005556BE">
            <w:pPr>
              <w:pStyle w:val="Bullet"/>
            </w:pPr>
            <w:r w:rsidRPr="00DC11C8">
              <w:t xml:space="preserve">demonstrate commitment to the University’s values of Integrity, Courage, Innovation, Excellence and the underlying ethos of being Student </w:t>
            </w:r>
            <w:proofErr w:type="gramStart"/>
            <w:r w:rsidRPr="00DC11C8">
              <w:t>Centred;</w:t>
            </w:r>
            <w:proofErr w:type="gramEnd"/>
          </w:p>
          <w:p w14:paraId="4708B83E" w14:textId="77777777" w:rsidR="00507B9B" w:rsidRPr="00DC11C8" w:rsidRDefault="00507B9B" w:rsidP="005556BE">
            <w:pPr>
              <w:pStyle w:val="Bullet"/>
            </w:pPr>
            <w:r w:rsidRPr="00DC11C8">
              <w:t xml:space="preserve">contribute to the efficient and effective functioning of the team or work unit </w:t>
            </w:r>
            <w:proofErr w:type="gramStart"/>
            <w:r w:rsidRPr="00DC11C8">
              <w:t>in order to</w:t>
            </w:r>
            <w:proofErr w:type="gramEnd"/>
            <w:r w:rsidRPr="00DC11C8">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DC11C8">
              <w:t>supervisor;</w:t>
            </w:r>
            <w:proofErr w:type="gramEnd"/>
          </w:p>
          <w:p w14:paraId="349101D5" w14:textId="77777777" w:rsidR="00507B9B" w:rsidRPr="00DC11C8" w:rsidRDefault="00507B9B" w:rsidP="005556BE">
            <w:pPr>
              <w:pStyle w:val="Bullet"/>
            </w:pPr>
            <w:r w:rsidRPr="00DC11C8">
              <w:rPr>
                <w:lang w:val="en-US"/>
              </w:rPr>
              <w:t xml:space="preserve">promote and support an inclusive workplace culture which values diversity and embraces the principles of equal </w:t>
            </w:r>
            <w:proofErr w:type="gramStart"/>
            <w:r w:rsidRPr="00DC11C8">
              <w:rPr>
                <w:lang w:val="en-US"/>
              </w:rPr>
              <w:t>opportunity;</w:t>
            </w:r>
            <w:proofErr w:type="gramEnd"/>
          </w:p>
          <w:p w14:paraId="3A002404" w14:textId="77777777" w:rsidR="00507B9B" w:rsidRPr="00DC11C8" w:rsidRDefault="00507B9B" w:rsidP="005556BE">
            <w:pPr>
              <w:pStyle w:val="Bullet"/>
            </w:pPr>
            <w:r w:rsidRPr="00DC11C8">
              <w:t>perform their responsibilities in a manner which reflects and responds to continuous improvement; and</w:t>
            </w:r>
          </w:p>
          <w:p w14:paraId="32728CEA" w14:textId="605ADE7D" w:rsidR="003A2E5A" w:rsidRPr="00F71348" w:rsidRDefault="00507B9B" w:rsidP="001B74E9">
            <w:pPr>
              <w:pStyle w:val="Bullet"/>
              <w:rPr>
                <w:i/>
              </w:rPr>
            </w:pPr>
            <w:r w:rsidRPr="006B14B0">
              <w:lastRenderedPageBreak/>
              <w:t xml:space="preserve">familiarise themselves and comply with the University’s </w:t>
            </w:r>
            <w:r w:rsidRPr="003A2E5A">
              <w:rPr>
                <w:iCs/>
              </w:rPr>
              <w:t>Work Health and Safety,</w:t>
            </w:r>
            <w:r w:rsidRPr="006B14B0">
              <w:t xml:space="preserve"> </w:t>
            </w:r>
            <w:r w:rsidRPr="003A2E5A">
              <w:rPr>
                <w:iCs/>
              </w:rPr>
              <w:t>Injury Management and</w:t>
            </w:r>
            <w:r w:rsidRPr="006B14B0">
              <w:t xml:space="preserve"> </w:t>
            </w:r>
            <w:r w:rsidRPr="003A2E5A">
              <w:rPr>
                <w:iCs/>
              </w:rPr>
              <w:t>Equal Opportunity</w:t>
            </w:r>
            <w:r w:rsidRPr="006B14B0">
              <w:t xml:space="preserve"> policies</w:t>
            </w:r>
            <w:r w:rsidR="004E10A3">
              <w:t xml:space="preserve">. </w:t>
            </w:r>
          </w:p>
          <w:p w14:paraId="29273B49" w14:textId="453C59D3" w:rsidR="00F71348" w:rsidRDefault="00F71348" w:rsidP="00F35F55">
            <w:pPr>
              <w:pStyle w:val="Bullet"/>
              <w:numPr>
                <w:ilvl w:val="0"/>
                <w:numId w:val="0"/>
              </w:numPr>
              <w:rPr>
                <w:i/>
              </w:rPr>
            </w:pPr>
          </w:p>
          <w:p w14:paraId="66EBB866" w14:textId="77777777" w:rsidR="00F35F55" w:rsidRPr="0045731A" w:rsidRDefault="00F35F55" w:rsidP="00F35F55">
            <w:pPr>
              <w:jc w:val="both"/>
              <w:rPr>
                <w:rFonts w:ascii="Arial" w:hAnsi="Arial" w:cs="Arial"/>
                <w:i/>
                <w:color w:val="000000" w:themeColor="text1"/>
                <w:sz w:val="20"/>
                <w:szCs w:val="20"/>
              </w:rPr>
            </w:pPr>
            <w:r w:rsidRPr="0045731A">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7C0E07DA" w14:textId="77777777" w:rsidR="00F35F55" w:rsidRPr="0045731A" w:rsidRDefault="00F35F55" w:rsidP="00F35F55">
            <w:pPr>
              <w:jc w:val="both"/>
              <w:rPr>
                <w:rFonts w:ascii="Arial" w:hAnsi="Arial" w:cs="Arial"/>
                <w:i/>
                <w:color w:val="000000" w:themeColor="text1"/>
                <w:sz w:val="20"/>
                <w:szCs w:val="20"/>
              </w:rPr>
            </w:pPr>
          </w:p>
          <w:p w14:paraId="41503E7D" w14:textId="77777777" w:rsidR="00F35F55" w:rsidRPr="0045731A" w:rsidRDefault="00F35F55" w:rsidP="00F35F55">
            <w:pPr>
              <w:jc w:val="both"/>
              <w:rPr>
                <w:rFonts w:ascii="Arial" w:hAnsi="Arial" w:cs="Arial"/>
                <w:color w:val="000000" w:themeColor="text1"/>
                <w:sz w:val="20"/>
                <w:szCs w:val="20"/>
              </w:rPr>
            </w:pPr>
            <w:r w:rsidRPr="0045731A">
              <w:rPr>
                <w:rFonts w:ascii="Arial" w:hAnsi="Arial" w:cs="Arial"/>
                <w:b/>
                <w:bCs/>
                <w:i/>
                <w:sz w:val="20"/>
                <w:szCs w:val="20"/>
                <w:highlight w:val="yellow"/>
                <w:u w:val="single"/>
              </w:rPr>
              <w:t>Include if deemed a prescribed position</w:t>
            </w:r>
            <w:r w:rsidRPr="0045731A">
              <w:rPr>
                <w:rFonts w:ascii="Arial" w:hAnsi="Arial" w:cs="Arial"/>
                <w:b/>
                <w:bCs/>
                <w:i/>
                <w:sz w:val="20"/>
                <w:szCs w:val="20"/>
                <w:highlight w:val="yellow"/>
              </w:rPr>
              <w:t>:</w:t>
            </w:r>
            <w:r w:rsidRPr="0045731A">
              <w:rPr>
                <w:rFonts w:ascii="Arial" w:hAnsi="Arial" w:cs="Arial"/>
                <w:i/>
                <w:sz w:val="20"/>
                <w:szCs w:val="20"/>
              </w:rPr>
              <w:t xml:space="preserve"> In </w:t>
            </w:r>
            <w:r w:rsidRPr="0045731A">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3E7A2AD6" w14:textId="77777777" w:rsidR="00F35F55" w:rsidRPr="0045731A" w:rsidRDefault="00F35F55" w:rsidP="00F35F55">
            <w:pPr>
              <w:jc w:val="both"/>
              <w:rPr>
                <w:rFonts w:ascii="Arial" w:hAnsi="Arial" w:cs="Arial"/>
                <w:i/>
                <w:color w:val="000000" w:themeColor="text1"/>
                <w:sz w:val="20"/>
                <w:szCs w:val="20"/>
              </w:rPr>
            </w:pPr>
            <w:r w:rsidRPr="0045731A">
              <w:rPr>
                <w:rFonts w:ascii="Arial" w:hAnsi="Arial" w:cs="Arial"/>
                <w:b/>
                <w:bCs/>
                <w:i/>
                <w:color w:val="000000" w:themeColor="text1"/>
                <w:sz w:val="20"/>
                <w:szCs w:val="20"/>
                <w:highlight w:val="yellow"/>
                <w:u w:val="single"/>
              </w:rPr>
              <w:t>Include for all NT positions:</w:t>
            </w:r>
            <w:r w:rsidRPr="0045731A">
              <w:rPr>
                <w:rFonts w:ascii="Arial" w:hAnsi="Arial" w:cs="Arial"/>
                <w:color w:val="000000" w:themeColor="text1"/>
                <w:sz w:val="20"/>
                <w:szCs w:val="20"/>
              </w:rPr>
              <w:t xml:space="preserve"> </w:t>
            </w:r>
            <w:r w:rsidRPr="0045731A">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3F25DC53" w14:textId="4FDC2A70" w:rsidR="008A31FB" w:rsidRPr="008A31FB" w:rsidRDefault="008A31FB" w:rsidP="008A31FB">
            <w:pPr>
              <w:pStyle w:val="Bullet"/>
              <w:numPr>
                <w:ilvl w:val="0"/>
                <w:numId w:val="0"/>
              </w:numPr>
              <w:rPr>
                <w:rFonts w:ascii="Arial" w:hAnsi="Arial" w:cs="Arial"/>
                <w:i/>
                <w:iCs/>
                <w:sz w:val="20"/>
                <w:szCs w:val="20"/>
              </w:rPr>
            </w:pPr>
            <w:r w:rsidRPr="008A31FB">
              <w:rPr>
                <w:rFonts w:ascii="Arial" w:hAnsi="Arial" w:cs="Arial"/>
                <w:i/>
                <w:iCs/>
                <w:sz w:val="20"/>
                <w:szCs w:val="20"/>
              </w:rPr>
              <w:t xml:space="preserve">An up to date COVID-19 vaccination may be required as a condition of employment, in accordance with the Flinders University </w:t>
            </w:r>
            <w:hyperlink r:id="rId8" w:history="1">
              <w:r w:rsidRPr="008A31FB">
                <w:rPr>
                  <w:rStyle w:val="Hyperlink"/>
                  <w:rFonts w:ascii="Arial" w:hAnsi="Arial" w:cs="Arial"/>
                  <w:i/>
                  <w:iCs/>
                  <w:sz w:val="20"/>
                  <w:szCs w:val="20"/>
                </w:rPr>
                <w:t>COVID-19 Vaccination Policy (2022)</w:t>
              </w:r>
            </w:hyperlink>
            <w:r w:rsidRPr="008A31FB">
              <w:rPr>
                <w:rFonts w:ascii="Arial" w:hAnsi="Arial" w:cs="Arial"/>
                <w:i/>
                <w:iCs/>
                <w:sz w:val="20"/>
                <w:szCs w:val="20"/>
                <w:u w:val="single"/>
              </w:rPr>
              <w:t xml:space="preserve">. </w:t>
            </w:r>
            <w:r w:rsidRPr="008A31FB">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6F94B037" w14:textId="26C0393A" w:rsidR="00630516" w:rsidRPr="003A2E5A" w:rsidRDefault="00630516" w:rsidP="00F71348">
            <w:pPr>
              <w:pStyle w:val="Bullet"/>
              <w:numPr>
                <w:ilvl w:val="0"/>
                <w:numId w:val="0"/>
              </w:numPr>
              <w:ind w:left="22"/>
              <w:rPr>
                <w:i/>
              </w:rPr>
            </w:pPr>
          </w:p>
          <w:p w14:paraId="36392B90" w14:textId="77777777" w:rsidR="00061700" w:rsidRPr="00061700" w:rsidRDefault="00FE546B" w:rsidP="00F71348">
            <w:pPr>
              <w:ind w:left="22"/>
              <w:rPr>
                <w:sz w:val="2"/>
                <w:szCs w:val="2"/>
              </w:rPr>
            </w:pPr>
            <w:r w:rsidRPr="00061700">
              <w:rPr>
                <w:sz w:val="2"/>
                <w:szCs w:val="2"/>
              </w:rPr>
              <w:t xml:space="preserve"> </w:t>
            </w:r>
          </w:p>
        </w:tc>
      </w:tr>
    </w:tbl>
    <w:p w14:paraId="6C43089A" w14:textId="77777777" w:rsidR="00254C8E" w:rsidRPr="00254C8E" w:rsidRDefault="00254C8E">
      <w:pPr>
        <w:rPr>
          <w:sz w:val="2"/>
          <w:szCs w:val="2"/>
        </w:rPr>
      </w:pPr>
    </w:p>
    <w:tbl>
      <w:tblPr>
        <w:tblStyle w:val="TableGrid"/>
        <w:tblW w:w="10031" w:type="dxa"/>
        <w:tblLook w:val="04A0" w:firstRow="1" w:lastRow="0" w:firstColumn="1" w:lastColumn="0" w:noHBand="0" w:noVBand="1"/>
      </w:tblPr>
      <w:tblGrid>
        <w:gridCol w:w="10031"/>
      </w:tblGrid>
      <w:tr w:rsidR="00507B9B" w:rsidRPr="008B15DA" w14:paraId="43FA7A3B" w14:textId="77777777" w:rsidTr="00EC4E6E">
        <w:tc>
          <w:tcPr>
            <w:tcW w:w="10031" w:type="dxa"/>
            <w:shd w:val="clear" w:color="auto" w:fill="002F60"/>
          </w:tcPr>
          <w:p w14:paraId="62ADE36B" w14:textId="77777777" w:rsidR="00507B9B" w:rsidRPr="00507B9B" w:rsidRDefault="00507B9B" w:rsidP="009D1BC1">
            <w:pPr>
              <w:pStyle w:val="Heading1"/>
              <w:keepNext/>
              <w:outlineLvl w:val="0"/>
            </w:pPr>
            <w:r w:rsidRPr="00507B9B">
              <w:br w:type="page"/>
              <w:t>KEY POSITION RESPONSIBILITIES</w:t>
            </w:r>
          </w:p>
        </w:tc>
      </w:tr>
      <w:tr w:rsidR="00507B9B" w:rsidRPr="00ED30E8" w14:paraId="492EBB16" w14:textId="77777777" w:rsidTr="00EC4E6E">
        <w:tc>
          <w:tcPr>
            <w:tcW w:w="10031" w:type="dxa"/>
          </w:tcPr>
          <w:p w14:paraId="38FD5457" w14:textId="77777777" w:rsidR="007C2047" w:rsidRPr="007C2047" w:rsidRDefault="007C2047" w:rsidP="007C2047">
            <w:pPr>
              <w:tabs>
                <w:tab w:val="left" w:pos="426"/>
              </w:tabs>
              <w:autoSpaceDE w:val="0"/>
              <w:autoSpaceDN w:val="0"/>
              <w:adjustRightInd w:val="0"/>
              <w:jc w:val="both"/>
              <w:rPr>
                <w:rFonts w:ascii="Calibri" w:hAnsi="Calibri" w:cs="Calibri"/>
              </w:rPr>
            </w:pPr>
            <w:r w:rsidRPr="007C2047">
              <w:rPr>
                <w:rFonts w:ascii="Calibri" w:hAnsi="Calibri" w:cs="Calibri"/>
              </w:rPr>
              <w:t xml:space="preserve">This position is predominantly concerned with providing leadership and direction related to teaching and teaching-related duties involving the creation, </w:t>
            </w:r>
            <w:proofErr w:type="gramStart"/>
            <w:r w:rsidRPr="007C2047">
              <w:rPr>
                <w:rFonts w:ascii="Calibri" w:hAnsi="Calibri" w:cs="Calibri"/>
              </w:rPr>
              <w:t>delivery</w:t>
            </w:r>
            <w:proofErr w:type="gramEnd"/>
            <w:r w:rsidRPr="007C2047">
              <w:rPr>
                <w:rFonts w:ascii="Calibri" w:hAnsi="Calibri" w:cs="Calibri"/>
              </w:rPr>
              <w:t xml:space="preserve"> and continuous quality improvement of university-level education.  It includes (but is not limited to): direct teaching informed by approaches that enhance the student experience; educational leadership; curriculum design and review; delivery innovation; advancements in education technologies; and leadership in ensuring internal and external compliance and accreditation of courses. It is expected that recent, ongoing (concurrent) or extensive experience and knowledge of contemporary professional practice will be brought to the position. The position is also expected to make a leadership contribution to high-quality university, professional and community service, which may extend from the local level to national or international.  The position does not include making a research contribution.</w:t>
            </w:r>
          </w:p>
          <w:p w14:paraId="79C9DF51" w14:textId="77777777" w:rsidR="00254C8E" w:rsidRPr="00254C8E" w:rsidRDefault="00254C8E" w:rsidP="00254C8E">
            <w:pPr>
              <w:tabs>
                <w:tab w:val="left" w:pos="426"/>
              </w:tabs>
              <w:autoSpaceDE w:val="0"/>
              <w:autoSpaceDN w:val="0"/>
              <w:adjustRightInd w:val="0"/>
              <w:jc w:val="both"/>
              <w:rPr>
                <w:rFonts w:ascii="Calibri" w:hAnsi="Calibri" w:cs="Calibri"/>
                <w:i/>
                <w:color w:val="000000" w:themeColor="text1"/>
              </w:rPr>
            </w:pPr>
            <w:r w:rsidRPr="00254C8E">
              <w:rPr>
                <w:rFonts w:ascii="Calibri" w:hAnsi="Calibri" w:cs="Calibri"/>
                <w:i/>
                <w:color w:val="000000" w:themeColor="text1"/>
              </w:rPr>
              <w:t>Teaching:</w:t>
            </w:r>
          </w:p>
          <w:p w14:paraId="5089243B"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 xml:space="preserve">Create, </w:t>
            </w:r>
            <w:proofErr w:type="gramStart"/>
            <w:r w:rsidRPr="00CF45F1">
              <w:rPr>
                <w:rFonts w:ascii="Calibri" w:hAnsi="Calibri" w:cs="Calibri"/>
                <w:color w:val="000000" w:themeColor="text1"/>
              </w:rPr>
              <w:t>coordinate</w:t>
            </w:r>
            <w:proofErr w:type="gramEnd"/>
            <w:r w:rsidRPr="00CF45F1">
              <w:rPr>
                <w:rFonts w:ascii="Calibri" w:hAnsi="Calibri" w:cs="Calibri"/>
                <w:color w:val="000000" w:themeColor="text1"/>
              </w:rPr>
              <w:t xml:space="preserve"> and conduct inspiring teaching informed by approaches that enhance the student experience, with a focus on </w:t>
            </w:r>
            <w:r w:rsidRPr="00CF45F1">
              <w:rPr>
                <w:rFonts w:ascii="Calibri" w:hAnsi="Calibri" w:cs="Calibri"/>
                <w:color w:val="000000" w:themeColor="text1"/>
                <w:highlight w:val="yellow"/>
              </w:rPr>
              <w:t>DISCIPLINE</w:t>
            </w:r>
            <w:r w:rsidRPr="00CF45F1">
              <w:rPr>
                <w:rFonts w:ascii="Calibri" w:hAnsi="Calibri" w:cs="Calibri"/>
                <w:color w:val="000000" w:themeColor="text1"/>
              </w:rPr>
              <w:t xml:space="preserve"> topics, across all levels and modes of the College.</w:t>
            </w:r>
          </w:p>
          <w:p w14:paraId="383FC460"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Contribute to the planning and evaluation of these topics, undertaking the roles of Topic Coordinator and Couse Coordinator as required.</w:t>
            </w:r>
          </w:p>
          <w:p w14:paraId="015D61A8"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Play a lead role in the review, renewal, development and design of curricula and courses that are attractive to existing and new cohorts of students and that nurture creativity and critical-thinking skills.</w:t>
            </w:r>
          </w:p>
          <w:p w14:paraId="76782825"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 xml:space="preserve">Provide support, academic counselling and professional advice to students concerning their studies, professional </w:t>
            </w:r>
            <w:proofErr w:type="gramStart"/>
            <w:r w:rsidRPr="00CF45F1">
              <w:rPr>
                <w:rFonts w:ascii="Calibri" w:hAnsi="Calibri" w:cs="Calibri"/>
                <w:color w:val="000000" w:themeColor="text1"/>
              </w:rPr>
              <w:t>development</w:t>
            </w:r>
            <w:proofErr w:type="gramEnd"/>
            <w:r w:rsidRPr="00CF45F1">
              <w:rPr>
                <w:rFonts w:ascii="Calibri" w:hAnsi="Calibri" w:cs="Calibri"/>
                <w:color w:val="000000" w:themeColor="text1"/>
              </w:rPr>
              <w:t xml:space="preserve"> and career opportunities.</w:t>
            </w:r>
          </w:p>
          <w:p w14:paraId="7AA90388"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Make effective use of innovations and technologies in teaching practice.</w:t>
            </w:r>
          </w:p>
          <w:p w14:paraId="40F979F5"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Provide educational leadership and dissemination of best practice, ensuring awareness and utilisation of contemporary education principles.</w:t>
            </w:r>
          </w:p>
          <w:p w14:paraId="3DC88817" w14:textId="77777777" w:rsidR="00CF45F1" w:rsidRPr="00CF45F1" w:rsidRDefault="00CF45F1" w:rsidP="00CF45F1">
            <w:pPr>
              <w:numPr>
                <w:ilvl w:val="0"/>
                <w:numId w:val="7"/>
              </w:numPr>
              <w:tabs>
                <w:tab w:val="left" w:pos="426"/>
              </w:tabs>
              <w:autoSpaceDE w:val="0"/>
              <w:autoSpaceDN w:val="0"/>
              <w:adjustRightInd w:val="0"/>
              <w:jc w:val="both"/>
              <w:rPr>
                <w:rFonts w:ascii="Calibri" w:hAnsi="Calibri" w:cs="Calibri"/>
                <w:i/>
                <w:color w:val="000000" w:themeColor="text1"/>
              </w:rPr>
            </w:pPr>
            <w:r w:rsidRPr="00CF45F1">
              <w:rPr>
                <w:rFonts w:ascii="Calibri" w:hAnsi="Calibri" w:cs="Calibri"/>
                <w:color w:val="000000" w:themeColor="text1"/>
              </w:rPr>
              <w:t xml:space="preserve">Engage in coaching, mentoring, supervising student </w:t>
            </w:r>
            <w:proofErr w:type="gramStart"/>
            <w:r w:rsidRPr="00CF45F1">
              <w:rPr>
                <w:rFonts w:ascii="Calibri" w:hAnsi="Calibri" w:cs="Calibri"/>
                <w:color w:val="000000" w:themeColor="text1"/>
              </w:rPr>
              <w:t>projects;</w:t>
            </w:r>
            <w:proofErr w:type="gramEnd"/>
            <w:r w:rsidRPr="00CF45F1">
              <w:rPr>
                <w:rFonts w:ascii="Calibri" w:hAnsi="Calibri" w:cs="Calibri"/>
                <w:color w:val="000000" w:themeColor="text1"/>
              </w:rPr>
              <w:t xml:space="preserve"> research higher degree supervision as an Adjunct Supervisor.</w:t>
            </w:r>
          </w:p>
          <w:p w14:paraId="5119BD43" w14:textId="77777777" w:rsidR="00254C8E" w:rsidRPr="00254C8E" w:rsidRDefault="00254C8E" w:rsidP="00CF45F1">
            <w:pPr>
              <w:tabs>
                <w:tab w:val="left" w:pos="426"/>
              </w:tabs>
              <w:autoSpaceDE w:val="0"/>
              <w:autoSpaceDN w:val="0"/>
              <w:adjustRightInd w:val="0"/>
              <w:jc w:val="both"/>
              <w:rPr>
                <w:rFonts w:ascii="Calibri" w:hAnsi="Calibri" w:cs="Calibri"/>
                <w:i/>
                <w:color w:val="000000" w:themeColor="text1"/>
              </w:rPr>
            </w:pPr>
            <w:r w:rsidRPr="00254C8E">
              <w:rPr>
                <w:rFonts w:ascii="Calibri" w:hAnsi="Calibri" w:cs="Calibri"/>
                <w:i/>
                <w:color w:val="000000" w:themeColor="text1"/>
              </w:rPr>
              <w:t>University, Professional and Service:</w:t>
            </w:r>
          </w:p>
          <w:p w14:paraId="637E8430"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lastRenderedPageBreak/>
              <w:t>Contribute at a significant level in the College’s administrative activities such as leadership on committees and working groups and attendance at and/or coordination of College meetings.</w:t>
            </w:r>
          </w:p>
          <w:p w14:paraId="07A1FEE8"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Significant involvement in and/or leading activities relating to internal and external compliance and professional accreditation of courses.</w:t>
            </w:r>
          </w:p>
          <w:p w14:paraId="6CBCB91C"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 xml:space="preserve">Maintain professional knowledge relevant to teaching within their discipline through scholarship and professional development. </w:t>
            </w:r>
          </w:p>
          <w:p w14:paraId="1F16552B"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 xml:space="preserve">Engage in activities within a relevant external professional domain such as professional associations, </w:t>
            </w:r>
            <w:proofErr w:type="gramStart"/>
            <w:r w:rsidRPr="00CF45F1">
              <w:rPr>
                <w:rFonts w:ascii="Calibri" w:hAnsi="Calibri" w:cs="Calibri"/>
                <w:color w:val="000000" w:themeColor="text1"/>
              </w:rPr>
              <w:t>conferences</w:t>
            </w:r>
            <w:proofErr w:type="gramEnd"/>
            <w:r w:rsidRPr="00CF45F1">
              <w:rPr>
                <w:rFonts w:ascii="Calibri" w:hAnsi="Calibri" w:cs="Calibri"/>
                <w:color w:val="000000" w:themeColor="text1"/>
              </w:rPr>
              <w:t xml:space="preserve"> and workshops, and within a wider community context at local, national or international level. </w:t>
            </w:r>
          </w:p>
          <w:p w14:paraId="36CE1EF9"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Provide leadership in, coordination of, development of and/or leading international activities including student mobility programs, internationalisation of curricula and ensuring the relevance of curricula to international students or that enhance intercultural skills development in students.</w:t>
            </w:r>
          </w:p>
          <w:p w14:paraId="1C8713D2" w14:textId="77777777" w:rsidR="00CF45F1" w:rsidRPr="00CF45F1" w:rsidRDefault="00CF45F1" w:rsidP="00CF45F1">
            <w:pPr>
              <w:pStyle w:val="ListParagraph"/>
              <w:numPr>
                <w:ilvl w:val="0"/>
                <w:numId w:val="7"/>
              </w:numPr>
              <w:tabs>
                <w:tab w:val="left" w:pos="426"/>
              </w:tabs>
              <w:autoSpaceDE w:val="0"/>
              <w:autoSpaceDN w:val="0"/>
              <w:adjustRightInd w:val="0"/>
              <w:jc w:val="both"/>
              <w:rPr>
                <w:rFonts w:ascii="Calibri" w:hAnsi="Calibri" w:cs="Calibri"/>
                <w:color w:val="000000" w:themeColor="text1"/>
              </w:rPr>
            </w:pPr>
            <w:r w:rsidRPr="00CF45F1">
              <w:rPr>
                <w:rFonts w:ascii="Calibri" w:hAnsi="Calibri" w:cs="Calibri"/>
                <w:color w:val="000000" w:themeColor="text1"/>
              </w:rPr>
              <w:t>Provide high quality contribution to community service on behalf of the College and University.</w:t>
            </w:r>
          </w:p>
          <w:p w14:paraId="05101F35" w14:textId="77777777" w:rsidR="00CF45F1" w:rsidRPr="00CF45F1" w:rsidRDefault="00CF45F1" w:rsidP="00CF45F1">
            <w:pPr>
              <w:pStyle w:val="Bullet"/>
              <w:numPr>
                <w:ilvl w:val="0"/>
                <w:numId w:val="7"/>
              </w:numPr>
            </w:pPr>
            <w:r w:rsidRPr="00CF45F1">
              <w:rPr>
                <w:rFonts w:cs="Calibri"/>
                <w:color w:val="000000" w:themeColor="text1"/>
              </w:rPr>
              <w:t>Undertake activities that promote the development of productive partnerships to provide opportunities for students and promote graduate employability.</w:t>
            </w:r>
          </w:p>
          <w:p w14:paraId="5689E568" w14:textId="77777777" w:rsidR="00254C8E" w:rsidRPr="00CB1489" w:rsidRDefault="00CB1489" w:rsidP="00CF45F1">
            <w:pPr>
              <w:pStyle w:val="Bullet"/>
              <w:numPr>
                <w:ilvl w:val="0"/>
                <w:numId w:val="7"/>
              </w:numPr>
              <w:ind w:left="313"/>
            </w:pPr>
            <w:r w:rsidRPr="00CB1489">
              <w:rPr>
                <w:rFonts w:cs="Calibri"/>
                <w:color w:val="000000" w:themeColor="text1"/>
              </w:rPr>
              <w:t>Any other responsibilities in line with the level of the position as assigned by the Supervisor and/or the University.</w:t>
            </w:r>
          </w:p>
          <w:p w14:paraId="0332A69E" w14:textId="77777777" w:rsidR="00CB1489" w:rsidRPr="002229D9" w:rsidRDefault="00CB1489" w:rsidP="00CB1489">
            <w:pPr>
              <w:pStyle w:val="Bullet"/>
              <w:numPr>
                <w:ilvl w:val="0"/>
                <w:numId w:val="0"/>
              </w:numPr>
              <w:ind w:left="720"/>
            </w:pPr>
          </w:p>
        </w:tc>
      </w:tr>
    </w:tbl>
    <w:p w14:paraId="20CC23F9" w14:textId="77777777" w:rsidR="00CB1489" w:rsidRDefault="00CB1489" w:rsidP="00507B9B">
      <w:pPr>
        <w:pStyle w:val="NoSpacing"/>
        <w:rPr>
          <w:sz w:val="2"/>
          <w:szCs w:val="2"/>
        </w:rPr>
      </w:pPr>
    </w:p>
    <w:p w14:paraId="528CBDEE" w14:textId="77777777" w:rsidR="00CB1489" w:rsidRDefault="00CB1489">
      <w:pPr>
        <w:spacing w:before="0" w:after="160" w:line="259" w:lineRule="auto"/>
        <w:rPr>
          <w:sz w:val="2"/>
          <w:szCs w:val="2"/>
        </w:rPr>
      </w:pPr>
    </w:p>
    <w:p w14:paraId="7C5F2F52" w14:textId="77777777" w:rsidR="00507B9B" w:rsidRPr="00254C8E" w:rsidRDefault="00507B9B" w:rsidP="00507B9B">
      <w:pPr>
        <w:pStyle w:val="NoSpacing"/>
        <w:rPr>
          <w:sz w:val="2"/>
          <w:szCs w:val="2"/>
        </w:rPr>
      </w:pPr>
    </w:p>
    <w:tbl>
      <w:tblPr>
        <w:tblStyle w:val="TableGrid"/>
        <w:tblW w:w="10031" w:type="dxa"/>
        <w:tblLook w:val="04A0" w:firstRow="1" w:lastRow="0" w:firstColumn="1" w:lastColumn="0" w:noHBand="0" w:noVBand="1"/>
      </w:tblPr>
      <w:tblGrid>
        <w:gridCol w:w="10031"/>
      </w:tblGrid>
      <w:tr w:rsidR="00507B9B" w:rsidRPr="008B15DA" w14:paraId="2FE12274" w14:textId="77777777" w:rsidTr="00EC4E6E">
        <w:tc>
          <w:tcPr>
            <w:tcW w:w="10031" w:type="dxa"/>
            <w:shd w:val="clear" w:color="auto" w:fill="002F60"/>
          </w:tcPr>
          <w:p w14:paraId="6AA75127" w14:textId="77777777" w:rsidR="00507B9B" w:rsidRPr="00507B9B" w:rsidRDefault="00507B9B" w:rsidP="009D1BC1">
            <w:pPr>
              <w:pStyle w:val="Heading1"/>
              <w:keepNext/>
              <w:outlineLvl w:val="0"/>
            </w:pPr>
            <w:r w:rsidRPr="00507B9B">
              <w:br w:type="page"/>
              <w:t>KEY POSITION CAPABILITIES</w:t>
            </w:r>
          </w:p>
        </w:tc>
      </w:tr>
      <w:tr w:rsidR="00507B9B" w:rsidRPr="00BB6270" w14:paraId="438FE756" w14:textId="77777777" w:rsidTr="00EC4E6E">
        <w:tc>
          <w:tcPr>
            <w:tcW w:w="10031" w:type="dxa"/>
          </w:tcPr>
          <w:p w14:paraId="6AF39B72" w14:textId="1BB15211" w:rsidR="00036C76" w:rsidRDefault="00036C76" w:rsidP="00036C76">
            <w:pPr>
              <w:pStyle w:val="Bullet"/>
            </w:pPr>
            <w:r>
              <w:t xml:space="preserve">Completion of a PhD, </w:t>
            </w:r>
            <w:r w:rsidR="007C2047">
              <w:t>and/or qualifications and equivalent professional experience in a relevant area.</w:t>
            </w:r>
          </w:p>
          <w:p w14:paraId="7CA61437" w14:textId="19DDA565" w:rsidR="007C2047" w:rsidRPr="007C2047" w:rsidRDefault="007C2047" w:rsidP="007C2047">
            <w:pPr>
              <w:pStyle w:val="Bullet"/>
            </w:pPr>
            <w:r w:rsidRPr="007C2047">
              <w:t>Recognition of academic standing at a national or international level in the discipline area.</w:t>
            </w:r>
          </w:p>
          <w:p w14:paraId="1E9F666B" w14:textId="77777777" w:rsidR="00036C76" w:rsidRDefault="00036C76" w:rsidP="00036C76">
            <w:pPr>
              <w:pStyle w:val="Bullet"/>
            </w:pPr>
            <w:r>
              <w:t xml:space="preserve">Evidence of application of pedagogical theory and contemporary educational practice relevant to the discipline. </w:t>
            </w:r>
          </w:p>
          <w:p w14:paraId="6428D00A" w14:textId="77777777" w:rsidR="00036C76" w:rsidRDefault="00036C76" w:rsidP="00036C76">
            <w:pPr>
              <w:pStyle w:val="Bullet"/>
            </w:pPr>
            <w:r>
              <w:t xml:space="preserve">Evidence of sustained use of learning and teaching approaches which enhance student success. </w:t>
            </w:r>
          </w:p>
          <w:p w14:paraId="0CC2002E" w14:textId="77777777" w:rsidR="00036C76" w:rsidRDefault="00036C76" w:rsidP="00036C76">
            <w:pPr>
              <w:pStyle w:val="Bullet"/>
            </w:pPr>
            <w:r>
              <w:t xml:space="preserve">Experience of significant and sustained relevant teaching and learning experience at a tertiary level. </w:t>
            </w:r>
          </w:p>
          <w:p w14:paraId="098D9172" w14:textId="77777777" w:rsidR="00036C76" w:rsidRDefault="00036C76" w:rsidP="00036C76">
            <w:pPr>
              <w:pStyle w:val="Bullet"/>
            </w:pPr>
            <w:r>
              <w:t xml:space="preserve">Evidence of significant and sustained excellence in teaching performance at a tertiary level. </w:t>
            </w:r>
          </w:p>
          <w:p w14:paraId="171186C0" w14:textId="77777777" w:rsidR="00036C76" w:rsidRDefault="00036C76" w:rsidP="00036C76">
            <w:pPr>
              <w:pStyle w:val="Bullet"/>
            </w:pPr>
            <w:r>
              <w:t xml:space="preserve">Evidence of successful and sustained topic and/or course coordination. </w:t>
            </w:r>
          </w:p>
          <w:p w14:paraId="166B4068" w14:textId="77777777" w:rsidR="00036C76" w:rsidRDefault="00036C76" w:rsidP="00036C76">
            <w:pPr>
              <w:pStyle w:val="Bullet"/>
            </w:pPr>
            <w:r>
              <w:t xml:space="preserve">Evidence of significant and independent innovation in learning and teaching delivery or design. </w:t>
            </w:r>
          </w:p>
          <w:p w14:paraId="2B92824A" w14:textId="77777777" w:rsidR="00036C76" w:rsidRDefault="00036C76" w:rsidP="00036C76">
            <w:pPr>
              <w:pStyle w:val="Bullet"/>
            </w:pPr>
            <w:r>
              <w:t xml:space="preserve">Demonstrated capacity for successful leadership of teaching teams at course and/or the program level. </w:t>
            </w:r>
          </w:p>
          <w:p w14:paraId="2E9D26AD" w14:textId="77777777" w:rsidR="00036C76" w:rsidRDefault="00036C76" w:rsidP="00036C76">
            <w:pPr>
              <w:pStyle w:val="Bullet"/>
            </w:pPr>
            <w:r>
              <w:t xml:space="preserve">Evidence of scholarship of teaching and of professional development in higher education teaching. </w:t>
            </w:r>
          </w:p>
          <w:p w14:paraId="5DE193DC" w14:textId="77777777" w:rsidR="00036C76" w:rsidRDefault="00036C76" w:rsidP="00036C76">
            <w:pPr>
              <w:pStyle w:val="Bullet"/>
            </w:pPr>
            <w:r>
              <w:t xml:space="preserve">Demonstrated strong understanding of the nexus between teaching and learning, </w:t>
            </w:r>
            <w:proofErr w:type="gramStart"/>
            <w:r>
              <w:t>research</w:t>
            </w:r>
            <w:proofErr w:type="gramEnd"/>
            <w:r>
              <w:t xml:space="preserve"> and scholarship. </w:t>
            </w:r>
          </w:p>
          <w:p w14:paraId="31F25708" w14:textId="77777777" w:rsidR="00036C76" w:rsidRDefault="00036C76" w:rsidP="00036C76">
            <w:pPr>
              <w:pStyle w:val="Bullet"/>
            </w:pPr>
            <w:r>
              <w:t xml:space="preserve">Capacity to develop programs for international </w:t>
            </w:r>
            <w:proofErr w:type="gramStart"/>
            <w:r>
              <w:t>off-shore</w:t>
            </w:r>
            <w:proofErr w:type="gramEnd"/>
            <w:r>
              <w:t xml:space="preserve"> delivery independently or in collaboration with external partners.</w:t>
            </w:r>
          </w:p>
          <w:p w14:paraId="3901AE44" w14:textId="77777777" w:rsidR="00036C76" w:rsidRDefault="00036C76" w:rsidP="00036C76">
            <w:pPr>
              <w:pStyle w:val="Bullet"/>
            </w:pPr>
            <w:r>
              <w:t>Demonstrated experience and innovation using online learning platforms for teaching purposes.</w:t>
            </w:r>
          </w:p>
          <w:p w14:paraId="108730CF" w14:textId="77777777" w:rsidR="00036C76" w:rsidRDefault="00036C76" w:rsidP="00036C76">
            <w:pPr>
              <w:pStyle w:val="Bullet"/>
            </w:pPr>
            <w:r>
              <w:t>Development of teaching materials to be used by others</w:t>
            </w:r>
          </w:p>
          <w:p w14:paraId="2D684154" w14:textId="77777777" w:rsidR="00036C76" w:rsidRDefault="00036C76" w:rsidP="00036C76">
            <w:pPr>
              <w:pStyle w:val="Bullet"/>
            </w:pPr>
            <w:r>
              <w:t xml:space="preserve">Demonstrated excellent oral and written communication skills and interpersonal skills, including the demonstrated ability to establish effective relationships with staff, </w:t>
            </w:r>
            <w:proofErr w:type="gramStart"/>
            <w:r>
              <w:t>students</w:t>
            </w:r>
            <w:proofErr w:type="gramEnd"/>
            <w:r>
              <w:t xml:space="preserve"> and industry nationally and/or internationally.</w:t>
            </w:r>
          </w:p>
          <w:p w14:paraId="139EFBF9" w14:textId="77777777" w:rsidR="00036C76" w:rsidRDefault="00036C76" w:rsidP="00036C76">
            <w:pPr>
              <w:pStyle w:val="Bullet"/>
            </w:pPr>
            <w:r>
              <w:t xml:space="preserve">Has provided leadership to professional activities within a relevant external professional domain and within a wider community context at local, </w:t>
            </w:r>
            <w:proofErr w:type="gramStart"/>
            <w:r>
              <w:t>national</w:t>
            </w:r>
            <w:proofErr w:type="gramEnd"/>
            <w:r>
              <w:t xml:space="preserve"> or international level which could include topic/course </w:t>
            </w:r>
            <w:r>
              <w:lastRenderedPageBreak/>
              <w:t xml:space="preserve">coordinator, major award programs, leadership in quality assurance processes and relationship building with external parties including consultancy work and conferences. </w:t>
            </w:r>
          </w:p>
          <w:p w14:paraId="55354BBC" w14:textId="77777777" w:rsidR="00CB1489" w:rsidRDefault="00036C76" w:rsidP="00036C76">
            <w:pPr>
              <w:pStyle w:val="Bullet"/>
            </w:pPr>
            <w:r>
              <w:t>Tertiary qualifications in Education (Desirable).</w:t>
            </w:r>
          </w:p>
          <w:p w14:paraId="78A741B0" w14:textId="77777777" w:rsidR="00036C76" w:rsidRPr="006E334B" w:rsidRDefault="00036C76" w:rsidP="00036C76">
            <w:pPr>
              <w:pStyle w:val="Bullet"/>
              <w:numPr>
                <w:ilvl w:val="0"/>
                <w:numId w:val="0"/>
              </w:numPr>
              <w:ind w:left="340"/>
            </w:pPr>
          </w:p>
        </w:tc>
      </w:tr>
    </w:tbl>
    <w:p w14:paraId="02AAA563" w14:textId="77777777" w:rsidR="003B5D0C" w:rsidRPr="009D1BC1" w:rsidRDefault="00624C04" w:rsidP="00254C8E">
      <w:pPr>
        <w:tabs>
          <w:tab w:val="left" w:pos="2107"/>
        </w:tabs>
        <w:rPr>
          <w:sz w:val="2"/>
          <w:szCs w:val="2"/>
        </w:rPr>
      </w:pPr>
    </w:p>
    <w:sectPr w:rsidR="003B5D0C" w:rsidRPr="009D1BC1" w:rsidSect="006870BE">
      <w:headerReference w:type="even" r:id="rId9"/>
      <w:headerReference w:type="default" r:id="rId10"/>
      <w:footerReference w:type="even" r:id="rId11"/>
      <w:footerReference w:type="default" r:id="rId12"/>
      <w:headerReference w:type="first" r:id="rId13"/>
      <w:footerReference w:type="first" r:id="rId14"/>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AAFC" w14:textId="77777777" w:rsidR="002229D9" w:rsidRDefault="002229D9">
      <w:pPr>
        <w:spacing w:before="0" w:after="0"/>
      </w:pPr>
      <w:r>
        <w:separator/>
      </w:r>
    </w:p>
  </w:endnote>
  <w:endnote w:type="continuationSeparator" w:id="0">
    <w:p w14:paraId="790F1D2F"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6667" w14:textId="77777777" w:rsidR="00F35F55" w:rsidRDefault="00F35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8FD1"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2983DBCE" wp14:editId="42942B0D">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82C4"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3EC91C86" wp14:editId="44580EFB">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224D" w14:textId="77777777" w:rsidR="002229D9" w:rsidRDefault="002229D9">
      <w:pPr>
        <w:spacing w:before="0" w:after="0"/>
      </w:pPr>
      <w:r>
        <w:separator/>
      </w:r>
    </w:p>
  </w:footnote>
  <w:footnote w:type="continuationSeparator" w:id="0">
    <w:p w14:paraId="113C29DC"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2E08" w14:textId="77777777" w:rsidR="00F35F55" w:rsidRDefault="00F35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05B2" w14:textId="2C6F9990" w:rsidR="006E334B" w:rsidRDefault="00624C04">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F35F55">
      <w:rPr>
        <w:noProof/>
      </w:rPr>
      <w:drawing>
        <wp:anchor distT="0" distB="0" distL="114300" distR="114300" simplePos="0" relativeHeight="251658240" behindDoc="0" locked="0" layoutInCell="1" allowOverlap="1" wp14:anchorId="7CDC72C1" wp14:editId="302B5950">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A4E5" w14:textId="77777777" w:rsidR="006E334B" w:rsidRDefault="00354376">
    <w:pPr>
      <w:pStyle w:val="Header"/>
    </w:pPr>
    <w:r w:rsidRPr="005E67D9">
      <w:rPr>
        <w:noProof/>
        <w:lang w:eastAsia="en-AU"/>
      </w:rPr>
      <w:drawing>
        <wp:inline distT="0" distB="0" distL="0" distR="0" wp14:anchorId="49447AEC" wp14:editId="632C8A79">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38CCE7A4" w14:textId="77777777" w:rsidR="006E334B" w:rsidRDefault="0062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DEE"/>
    <w:multiLevelType w:val="hybridMultilevel"/>
    <w:tmpl w:val="05E8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 w15:restartNumberingAfterBreak="0">
    <w:nsid w:val="19034442"/>
    <w:multiLevelType w:val="hybridMultilevel"/>
    <w:tmpl w:val="D56E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A1613A"/>
    <w:multiLevelType w:val="hybridMultilevel"/>
    <w:tmpl w:val="953A5D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0432D"/>
    <w:multiLevelType w:val="hybridMultilevel"/>
    <w:tmpl w:val="9CA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16B50"/>
    <w:multiLevelType w:val="hybridMultilevel"/>
    <w:tmpl w:val="F260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3666190">
    <w:abstractNumId w:val="1"/>
  </w:num>
  <w:num w:numId="2" w16cid:durableId="245652768">
    <w:abstractNumId w:val="8"/>
  </w:num>
  <w:num w:numId="3" w16cid:durableId="649359839">
    <w:abstractNumId w:val="6"/>
  </w:num>
  <w:num w:numId="4" w16cid:durableId="321396287">
    <w:abstractNumId w:val="8"/>
  </w:num>
  <w:num w:numId="5" w16cid:durableId="741949472">
    <w:abstractNumId w:val="3"/>
  </w:num>
  <w:num w:numId="6" w16cid:durableId="787624753">
    <w:abstractNumId w:val="5"/>
  </w:num>
  <w:num w:numId="7" w16cid:durableId="782964765">
    <w:abstractNumId w:val="7"/>
  </w:num>
  <w:num w:numId="8" w16cid:durableId="566258945">
    <w:abstractNumId w:val="2"/>
  </w:num>
  <w:num w:numId="9" w16cid:durableId="717624897">
    <w:abstractNumId w:val="4"/>
  </w:num>
  <w:num w:numId="10" w16cid:durableId="208772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36C76"/>
    <w:rsid w:val="00061700"/>
    <w:rsid w:val="0006237F"/>
    <w:rsid w:val="00066B5D"/>
    <w:rsid w:val="00083E0B"/>
    <w:rsid w:val="000A7CFC"/>
    <w:rsid w:val="000B5CAD"/>
    <w:rsid w:val="000C5EF2"/>
    <w:rsid w:val="00182D37"/>
    <w:rsid w:val="001C168E"/>
    <w:rsid w:val="001E41B5"/>
    <w:rsid w:val="00214C4E"/>
    <w:rsid w:val="002229D9"/>
    <w:rsid w:val="00254C8E"/>
    <w:rsid w:val="00257E22"/>
    <w:rsid w:val="002A5D82"/>
    <w:rsid w:val="002C06F8"/>
    <w:rsid w:val="002E3364"/>
    <w:rsid w:val="002E639D"/>
    <w:rsid w:val="00354376"/>
    <w:rsid w:val="00374286"/>
    <w:rsid w:val="00396D4B"/>
    <w:rsid w:val="003A2E5A"/>
    <w:rsid w:val="003A5DCB"/>
    <w:rsid w:val="003C3343"/>
    <w:rsid w:val="00427EE1"/>
    <w:rsid w:val="004437AF"/>
    <w:rsid w:val="00471FDF"/>
    <w:rsid w:val="00485E4D"/>
    <w:rsid w:val="004E10A3"/>
    <w:rsid w:val="00502BD7"/>
    <w:rsid w:val="00507B9B"/>
    <w:rsid w:val="0051105D"/>
    <w:rsid w:val="00552C7F"/>
    <w:rsid w:val="005556BE"/>
    <w:rsid w:val="0057080E"/>
    <w:rsid w:val="00586071"/>
    <w:rsid w:val="00630516"/>
    <w:rsid w:val="006B5A51"/>
    <w:rsid w:val="0070490A"/>
    <w:rsid w:val="00740427"/>
    <w:rsid w:val="007B207E"/>
    <w:rsid w:val="007C2047"/>
    <w:rsid w:val="007F264C"/>
    <w:rsid w:val="008063F6"/>
    <w:rsid w:val="00862C9A"/>
    <w:rsid w:val="008650A3"/>
    <w:rsid w:val="00880415"/>
    <w:rsid w:val="00891BA9"/>
    <w:rsid w:val="008A31FB"/>
    <w:rsid w:val="008D44CE"/>
    <w:rsid w:val="009217CE"/>
    <w:rsid w:val="00923B97"/>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27133"/>
    <w:rsid w:val="00B549E5"/>
    <w:rsid w:val="00BA1588"/>
    <w:rsid w:val="00BC0C80"/>
    <w:rsid w:val="00C22F0B"/>
    <w:rsid w:val="00C42047"/>
    <w:rsid w:val="00C60E5F"/>
    <w:rsid w:val="00C97DDA"/>
    <w:rsid w:val="00CB1489"/>
    <w:rsid w:val="00CD65D6"/>
    <w:rsid w:val="00CD7DC9"/>
    <w:rsid w:val="00CF228E"/>
    <w:rsid w:val="00CF45F1"/>
    <w:rsid w:val="00D257AC"/>
    <w:rsid w:val="00DA30E5"/>
    <w:rsid w:val="00DD3684"/>
    <w:rsid w:val="00DF51BF"/>
    <w:rsid w:val="00E04B62"/>
    <w:rsid w:val="00E316F3"/>
    <w:rsid w:val="00E6776A"/>
    <w:rsid w:val="00E80156"/>
    <w:rsid w:val="00EC4C87"/>
    <w:rsid w:val="00F35F55"/>
    <w:rsid w:val="00F71348"/>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74DD24"/>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8A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454">
      <w:bodyDiv w:val="1"/>
      <w:marLeft w:val="0"/>
      <w:marRight w:val="0"/>
      <w:marTop w:val="0"/>
      <w:marBottom w:val="0"/>
      <w:divBdr>
        <w:top w:val="none" w:sz="0" w:space="0" w:color="auto"/>
        <w:left w:val="none" w:sz="0" w:space="0" w:color="auto"/>
        <w:bottom w:val="none" w:sz="0" w:space="0" w:color="auto"/>
        <w:right w:val="none" w:sz="0" w:space="0" w:color="auto"/>
      </w:divBdr>
    </w:div>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4551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351F-2990-4CE6-938E-D233662B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2022-10-25T03:44:00Z</dcterms:created>
  <dcterms:modified xsi:type="dcterms:W3CDTF">2022-10-25T03:44:00Z</dcterms:modified>
</cp:coreProperties>
</file>