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FEF9" w14:textId="77777777" w:rsidR="006046ED" w:rsidRPr="00141378" w:rsidRDefault="006046ED" w:rsidP="006046ED">
      <w:pPr>
        <w:pStyle w:val="Heading3"/>
        <w:jc w:val="center"/>
        <w:rPr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1D993522" wp14:editId="199820FC">
            <wp:simplePos x="1771650" y="257175"/>
            <wp:positionH relativeFrom="margin">
              <wp:align>left</wp:align>
            </wp:positionH>
            <wp:positionV relativeFrom="margin">
              <wp:align>top</wp:align>
            </wp:positionV>
            <wp:extent cx="929640" cy="340995"/>
            <wp:effectExtent l="0" t="0" r="3810" b="190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_H_RGB_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378">
        <w:rPr>
          <w:sz w:val="48"/>
          <w:szCs w:val="48"/>
        </w:rPr>
        <w:t>Safe Work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994"/>
        <w:gridCol w:w="1754"/>
        <w:gridCol w:w="1754"/>
      </w:tblGrid>
      <w:tr w:rsidR="006046ED" w14:paraId="5FCC285A" w14:textId="77777777" w:rsidTr="006E4F27">
        <w:trPr>
          <w:trHeight w:val="624"/>
        </w:trPr>
        <w:tc>
          <w:tcPr>
            <w:tcW w:w="10420" w:type="dxa"/>
            <w:gridSpan w:val="4"/>
          </w:tcPr>
          <w:p w14:paraId="35F86834" w14:textId="77777777" w:rsidR="006046ED" w:rsidRPr="00AC2C18" w:rsidRDefault="006046ED" w:rsidP="006E4F27">
            <w:r w:rsidRPr="00141378">
              <w:rPr>
                <w:b/>
              </w:rPr>
              <w:t>Task/Activity/Plant/Equipment:</w:t>
            </w:r>
          </w:p>
          <w:p w14:paraId="15C27340" w14:textId="77777777" w:rsidR="006046ED" w:rsidRDefault="00C720C8" w:rsidP="006E4F27">
            <w:r>
              <w:t>Disposal</w:t>
            </w:r>
            <w:r w:rsidR="00337796">
              <w:t xml:space="preserve"> of hazardous chemical waste</w:t>
            </w:r>
          </w:p>
        </w:tc>
      </w:tr>
      <w:tr w:rsidR="006046ED" w14:paraId="195BE3F3" w14:textId="77777777" w:rsidTr="006E4F27">
        <w:trPr>
          <w:trHeight w:val="624"/>
        </w:trPr>
        <w:tc>
          <w:tcPr>
            <w:tcW w:w="6912" w:type="dxa"/>
            <w:gridSpan w:val="2"/>
          </w:tcPr>
          <w:p w14:paraId="3634F730" w14:textId="77777777" w:rsidR="006046ED" w:rsidRPr="00AC2C18" w:rsidRDefault="006046ED" w:rsidP="006E4F27">
            <w:r w:rsidRPr="00141378">
              <w:rPr>
                <w:b/>
              </w:rPr>
              <w:t>Location:</w:t>
            </w:r>
          </w:p>
          <w:p w14:paraId="28FBB4E5" w14:textId="102D7119" w:rsidR="006046ED" w:rsidRDefault="00902FA9" w:rsidP="006E4F27">
            <w:r>
              <w:t>College of Science &amp; Engineering</w:t>
            </w:r>
          </w:p>
        </w:tc>
        <w:tc>
          <w:tcPr>
            <w:tcW w:w="3508" w:type="dxa"/>
            <w:gridSpan w:val="2"/>
          </w:tcPr>
          <w:p w14:paraId="5B578178" w14:textId="77777777" w:rsidR="006046ED" w:rsidRPr="00AC2C18" w:rsidRDefault="006046ED" w:rsidP="006E4F27">
            <w:r w:rsidRPr="00AC2C18">
              <w:rPr>
                <w:b/>
              </w:rPr>
              <w:t>RA Number:</w:t>
            </w:r>
          </w:p>
          <w:p w14:paraId="470EAEFC" w14:textId="77777777" w:rsidR="006046ED" w:rsidRDefault="006046ED" w:rsidP="006E4F27"/>
        </w:tc>
      </w:tr>
      <w:tr w:rsidR="006046ED" w14:paraId="2AE15964" w14:textId="77777777" w:rsidTr="006E4F27">
        <w:trPr>
          <w:trHeight w:val="624"/>
        </w:trPr>
        <w:tc>
          <w:tcPr>
            <w:tcW w:w="2918" w:type="dxa"/>
          </w:tcPr>
          <w:p w14:paraId="7544920E" w14:textId="77777777" w:rsidR="006046ED" w:rsidRPr="00AC2C18" w:rsidRDefault="006046ED" w:rsidP="006E4F27">
            <w:r w:rsidRPr="00141378">
              <w:rPr>
                <w:b/>
              </w:rPr>
              <w:t>SWP Number:</w:t>
            </w:r>
          </w:p>
          <w:p w14:paraId="62A40670" w14:textId="77777777" w:rsidR="006046ED" w:rsidRDefault="006046ED" w:rsidP="006E4F27"/>
        </w:tc>
        <w:tc>
          <w:tcPr>
            <w:tcW w:w="3994" w:type="dxa"/>
          </w:tcPr>
          <w:p w14:paraId="4997F17F" w14:textId="77777777" w:rsidR="006046ED" w:rsidRPr="00AC2C18" w:rsidRDefault="006046ED" w:rsidP="006E4F27">
            <w:r w:rsidRPr="00141378">
              <w:rPr>
                <w:b/>
              </w:rPr>
              <w:t>SWP prepared by:</w:t>
            </w:r>
          </w:p>
          <w:p w14:paraId="651863CF" w14:textId="77777777" w:rsidR="006046ED" w:rsidRDefault="00337796" w:rsidP="006E4F27">
            <w:r>
              <w:t>Tanya Rodaro</w:t>
            </w:r>
          </w:p>
        </w:tc>
        <w:tc>
          <w:tcPr>
            <w:tcW w:w="1754" w:type="dxa"/>
          </w:tcPr>
          <w:p w14:paraId="73B9F1C2" w14:textId="77777777" w:rsidR="006046ED" w:rsidRPr="00AC2C18" w:rsidRDefault="006046ED" w:rsidP="006E4F27">
            <w:r w:rsidRPr="00AC2C18">
              <w:rPr>
                <w:b/>
              </w:rPr>
              <w:t>Date:</w:t>
            </w:r>
          </w:p>
          <w:p w14:paraId="3F7C9F74" w14:textId="730DC0FE" w:rsidR="006046ED" w:rsidRDefault="00902FA9" w:rsidP="006E4F27">
            <w:r>
              <w:t>6/03/19</w:t>
            </w:r>
          </w:p>
        </w:tc>
        <w:tc>
          <w:tcPr>
            <w:tcW w:w="1754" w:type="dxa"/>
          </w:tcPr>
          <w:p w14:paraId="2AFE0846" w14:textId="77777777" w:rsidR="006046ED" w:rsidRPr="00AC2C18" w:rsidRDefault="006046ED" w:rsidP="006E4F27">
            <w:r w:rsidRPr="00AC2C18">
              <w:rPr>
                <w:b/>
              </w:rPr>
              <w:t>Review Date:</w:t>
            </w:r>
          </w:p>
          <w:p w14:paraId="6E9024D1" w14:textId="51C643CC" w:rsidR="0066757A" w:rsidRDefault="0066757A" w:rsidP="006E4F27">
            <w:r>
              <w:t>6/03/24</w:t>
            </w:r>
          </w:p>
        </w:tc>
      </w:tr>
    </w:tbl>
    <w:p w14:paraId="222F27B9" w14:textId="77777777" w:rsidR="006046ED" w:rsidRPr="006A011C" w:rsidRDefault="006046ED" w:rsidP="006046ED">
      <w:pPr>
        <w:pStyle w:val="Heading3"/>
        <w:spacing w:before="0"/>
        <w:rPr>
          <w:b w:val="0"/>
          <w:i/>
          <w:sz w:val="18"/>
          <w:szCs w:val="18"/>
        </w:rPr>
      </w:pPr>
      <w:r w:rsidRPr="006A011C">
        <w:rPr>
          <w:b w:val="0"/>
          <w:i/>
          <w:sz w:val="18"/>
          <w:szCs w:val="18"/>
        </w:rPr>
        <w:t>What warnings and/or protective measures must be taken when using this equipment?</w:t>
      </w:r>
      <w:bookmarkStart w:id="0" w:name="_GoBack"/>
      <w:bookmarkEnd w:id="0"/>
    </w:p>
    <w:p w14:paraId="0613A83F" w14:textId="77777777" w:rsidR="006046ED" w:rsidRPr="00BB39F3" w:rsidRDefault="006046ED" w:rsidP="00BB39F3">
      <w:pPr>
        <w:pStyle w:val="Heading3"/>
        <w:ind w:right="-144"/>
        <w:rPr>
          <w:b w:val="0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C362FE5" wp14:editId="45D867EA">
            <wp:extent cx="752475" cy="1019175"/>
            <wp:effectExtent l="0" t="0" r="9525" b="9525"/>
            <wp:docPr id="2" name="Picture 2" descr="ma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796">
        <w:rPr>
          <w:noProof/>
          <w:sz w:val="22"/>
          <w:szCs w:val="22"/>
        </w:rPr>
        <w:drawing>
          <wp:inline distT="0" distB="0" distL="0" distR="0" wp14:anchorId="1A176270" wp14:editId="0E2821C8">
            <wp:extent cx="752475" cy="1019175"/>
            <wp:effectExtent l="0" t="0" r="9525" b="9525"/>
            <wp:docPr id="1" name="Picture 1" descr="man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796">
        <w:rPr>
          <w:noProof/>
          <w:sz w:val="22"/>
          <w:szCs w:val="22"/>
        </w:rPr>
        <w:drawing>
          <wp:inline distT="0" distB="0" distL="0" distR="0" wp14:anchorId="34A4A6E3" wp14:editId="2BA312E8">
            <wp:extent cx="752475" cy="1019175"/>
            <wp:effectExtent l="0" t="0" r="9525" b="9525"/>
            <wp:docPr id="3" name="Picture 3" descr="ma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n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796">
        <w:rPr>
          <w:noProof/>
          <w:sz w:val="22"/>
          <w:szCs w:val="22"/>
        </w:rPr>
        <w:drawing>
          <wp:inline distT="0" distB="0" distL="0" distR="0" wp14:anchorId="2A1909DA" wp14:editId="1D9BB32F">
            <wp:extent cx="752475" cy="1019175"/>
            <wp:effectExtent l="0" t="0" r="9525" b="9525"/>
            <wp:docPr id="4" name="Picture 4" descr="man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5B8D421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3B2A29AA" w14:textId="77777777" w:rsidR="006046ED" w:rsidRDefault="006046ED" w:rsidP="00BB39F3">
            <w:r w:rsidRPr="00A67DAC">
              <w:rPr>
                <w:b/>
                <w:sz w:val="22"/>
                <w:szCs w:val="22"/>
              </w:rPr>
              <w:t>HAZARDS</w:t>
            </w:r>
          </w:p>
        </w:tc>
      </w:tr>
    </w:tbl>
    <w:p w14:paraId="552E26D4" w14:textId="77777777" w:rsidR="0043240C" w:rsidRPr="00BB39F3" w:rsidRDefault="00BB39F3" w:rsidP="00F31510">
      <w:pPr>
        <w:pStyle w:val="Heading3"/>
        <w:spacing w:before="0"/>
        <w:ind w:right="-142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Refer to Risk Assessment</w:t>
      </w:r>
    </w:p>
    <w:tbl>
      <w:tblPr>
        <w:tblW w:w="10489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02"/>
        <w:gridCol w:w="5387"/>
      </w:tblGrid>
      <w:tr w:rsidR="006046ED" w14:paraId="31CFEA79" w14:textId="77777777" w:rsidTr="00EF3385">
        <w:tc>
          <w:tcPr>
            <w:tcW w:w="5102" w:type="dxa"/>
            <w:shd w:val="clear" w:color="auto" w:fill="auto"/>
          </w:tcPr>
          <w:p w14:paraId="66947A1D" w14:textId="77777777" w:rsidR="006046ED" w:rsidRDefault="00337796" w:rsidP="006E4F27">
            <w:pPr>
              <w:ind w:right="-144"/>
            </w:pPr>
            <w:r>
              <w:t>Hazardous chemicals</w:t>
            </w:r>
            <w:r w:rsidR="00094C3C">
              <w:t xml:space="preserve"> – exposure risk</w:t>
            </w:r>
          </w:p>
        </w:tc>
        <w:tc>
          <w:tcPr>
            <w:tcW w:w="5387" w:type="dxa"/>
            <w:shd w:val="clear" w:color="auto" w:fill="auto"/>
          </w:tcPr>
          <w:p w14:paraId="691DA856" w14:textId="77777777" w:rsidR="006046ED" w:rsidRDefault="006046ED" w:rsidP="006E4F27">
            <w:pPr>
              <w:ind w:right="-144"/>
            </w:pPr>
          </w:p>
        </w:tc>
      </w:tr>
      <w:tr w:rsidR="006046ED" w14:paraId="7B43D230" w14:textId="77777777" w:rsidTr="00EF3385">
        <w:tc>
          <w:tcPr>
            <w:tcW w:w="5102" w:type="dxa"/>
            <w:shd w:val="clear" w:color="auto" w:fill="auto"/>
          </w:tcPr>
          <w:p w14:paraId="1062E7C5" w14:textId="77777777" w:rsidR="006046ED" w:rsidRDefault="00094C3C" w:rsidP="006E4F27">
            <w:pPr>
              <w:ind w:right="-144"/>
            </w:pPr>
            <w:r>
              <w:t>Hazardous chemicals – transport in lift</w:t>
            </w:r>
          </w:p>
        </w:tc>
        <w:tc>
          <w:tcPr>
            <w:tcW w:w="5387" w:type="dxa"/>
            <w:shd w:val="clear" w:color="auto" w:fill="auto"/>
          </w:tcPr>
          <w:p w14:paraId="3D6232CE" w14:textId="77777777" w:rsidR="006046ED" w:rsidRDefault="006046ED" w:rsidP="006E4F27">
            <w:pPr>
              <w:ind w:right="-144"/>
            </w:pPr>
          </w:p>
        </w:tc>
      </w:tr>
      <w:tr w:rsidR="006046ED" w14:paraId="629FA42F" w14:textId="77777777" w:rsidTr="00EF3385">
        <w:tc>
          <w:tcPr>
            <w:tcW w:w="5102" w:type="dxa"/>
            <w:shd w:val="clear" w:color="auto" w:fill="auto"/>
          </w:tcPr>
          <w:p w14:paraId="73E374F8" w14:textId="77777777" w:rsidR="006046ED" w:rsidRDefault="00094C3C" w:rsidP="00094C3C">
            <w:pPr>
              <w:ind w:right="-144"/>
            </w:pPr>
            <w:r>
              <w:t>Hazardous chemicals - a</w:t>
            </w:r>
            <w:r w:rsidR="00337796">
              <w:t>ccidental spill or mixing</w:t>
            </w:r>
          </w:p>
        </w:tc>
        <w:tc>
          <w:tcPr>
            <w:tcW w:w="5387" w:type="dxa"/>
            <w:shd w:val="clear" w:color="auto" w:fill="auto"/>
          </w:tcPr>
          <w:p w14:paraId="780B3FE8" w14:textId="77777777" w:rsidR="006046ED" w:rsidRDefault="006046ED" w:rsidP="006E4F27">
            <w:pPr>
              <w:ind w:right="-144"/>
            </w:pPr>
          </w:p>
        </w:tc>
      </w:tr>
      <w:tr w:rsidR="006046ED" w14:paraId="368101FE" w14:textId="77777777" w:rsidTr="00EF3385">
        <w:tc>
          <w:tcPr>
            <w:tcW w:w="5102" w:type="dxa"/>
            <w:shd w:val="clear" w:color="auto" w:fill="auto"/>
          </w:tcPr>
          <w:p w14:paraId="216A977C" w14:textId="77777777" w:rsidR="006046ED" w:rsidRDefault="006046ED" w:rsidP="006E4F27">
            <w:pPr>
              <w:ind w:right="-144"/>
            </w:pPr>
          </w:p>
        </w:tc>
        <w:tc>
          <w:tcPr>
            <w:tcW w:w="5387" w:type="dxa"/>
            <w:shd w:val="clear" w:color="auto" w:fill="auto"/>
          </w:tcPr>
          <w:p w14:paraId="114245EB" w14:textId="77777777" w:rsidR="006046ED" w:rsidRDefault="006046ED" w:rsidP="006E4F27">
            <w:pPr>
              <w:ind w:right="-144"/>
            </w:pPr>
          </w:p>
        </w:tc>
      </w:tr>
    </w:tbl>
    <w:p w14:paraId="0E363AE7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79C05F76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517E6A49" w14:textId="77777777" w:rsidR="006046ED" w:rsidRPr="00BB39F3" w:rsidRDefault="006046ED" w:rsidP="00BB39F3">
            <w:pPr>
              <w:tabs>
                <w:tab w:val="right" w:pos="10185"/>
              </w:tabs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PRE-OPERATIONAL SAFETY CHECKS</w:t>
            </w:r>
            <w:r w:rsidRPr="00BB39F3">
              <w:rPr>
                <w:b/>
                <w:sz w:val="22"/>
                <w:szCs w:val="22"/>
              </w:rPr>
              <w:tab/>
            </w:r>
            <w:r w:rsidRPr="00BB39F3">
              <w:rPr>
                <w:b/>
                <w:sz w:val="16"/>
                <w:szCs w:val="16"/>
              </w:rPr>
              <w:t>DO NOT USE DEFECTIVE OR FAULTY EQUIPMENT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7B715CF8" w14:textId="77777777" w:rsidTr="00BB39F3">
        <w:tc>
          <w:tcPr>
            <w:tcW w:w="328" w:type="dxa"/>
            <w:shd w:val="clear" w:color="auto" w:fill="auto"/>
          </w:tcPr>
          <w:p w14:paraId="641B361D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353" w:type="dxa"/>
            <w:shd w:val="clear" w:color="auto" w:fill="auto"/>
          </w:tcPr>
          <w:p w14:paraId="02F7E74E" w14:textId="37BFA031" w:rsidR="006046ED" w:rsidRPr="003167B7" w:rsidRDefault="00B608A9" w:rsidP="00C52739">
            <w:pPr>
              <w:ind w:right="-144"/>
            </w:pPr>
            <w:r>
              <w:t xml:space="preserve">Ensure waste is stored in appropriate containers </w:t>
            </w:r>
            <w:r w:rsidR="00C52739">
              <w:t xml:space="preserve">according to </w:t>
            </w:r>
            <w:proofErr w:type="spellStart"/>
            <w:r w:rsidR="00C52739">
              <w:t>Chemwatch</w:t>
            </w:r>
            <w:proofErr w:type="spellEnd"/>
            <w:r w:rsidR="00C52739">
              <w:t xml:space="preserve">, in </w:t>
            </w:r>
            <w:r w:rsidR="00ED56E1">
              <w:t xml:space="preserve">good condition </w:t>
            </w:r>
            <w:r>
              <w:t>and labelled correctly, with e</w:t>
            </w:r>
            <w:r w:rsidR="00ED56E1">
              <w:t xml:space="preserve">ither a manufacturers label or </w:t>
            </w:r>
            <w:proofErr w:type="spellStart"/>
            <w:r w:rsidR="00ED56E1">
              <w:t>C</w:t>
            </w:r>
            <w:r>
              <w:t>hemwatch</w:t>
            </w:r>
            <w:proofErr w:type="spellEnd"/>
            <w:r>
              <w:t xml:space="preserve"> label. Affix a waste label if required</w:t>
            </w:r>
            <w:r w:rsidR="00A4020B">
              <w:t xml:space="preserve"> (available at the store or printable labels on the</w:t>
            </w:r>
            <w:r w:rsidR="00902FA9">
              <w:t xml:space="preserve"> </w:t>
            </w:r>
            <w:hyperlink r:id="rId12" w:history="1">
              <w:r w:rsidR="00902FA9" w:rsidRPr="00902FA9">
                <w:rPr>
                  <w:rStyle w:val="Hyperlink"/>
                </w:rPr>
                <w:t>College FAQ page</w:t>
              </w:r>
            </w:hyperlink>
            <w:r w:rsidR="00A4020B">
              <w:t>)</w:t>
            </w:r>
          </w:p>
        </w:tc>
      </w:tr>
      <w:tr w:rsidR="006046ED" w:rsidRPr="003167B7" w14:paraId="6D2FF448" w14:textId="77777777" w:rsidTr="00BB39F3">
        <w:tc>
          <w:tcPr>
            <w:tcW w:w="328" w:type="dxa"/>
            <w:shd w:val="clear" w:color="auto" w:fill="auto"/>
          </w:tcPr>
          <w:p w14:paraId="47089ACB" w14:textId="77777777" w:rsidR="006046ED" w:rsidRPr="003167B7" w:rsidRDefault="006046ED" w:rsidP="006E4F27">
            <w:pPr>
              <w:ind w:right="-144"/>
            </w:pPr>
            <w:r w:rsidRPr="003167B7">
              <w:t>2</w:t>
            </w:r>
          </w:p>
        </w:tc>
        <w:tc>
          <w:tcPr>
            <w:tcW w:w="10353" w:type="dxa"/>
            <w:shd w:val="clear" w:color="auto" w:fill="auto"/>
          </w:tcPr>
          <w:p w14:paraId="30274287" w14:textId="29EF7B02" w:rsidR="006046ED" w:rsidRPr="003167B7" w:rsidRDefault="00B608A9" w:rsidP="00C52739">
            <w:pPr>
              <w:ind w:right="-144"/>
            </w:pPr>
            <w:r w:rsidRPr="00B608A9">
              <w:t xml:space="preserve">Create a manifest of the waste using the standard form found on the </w:t>
            </w:r>
            <w:hyperlink r:id="rId13" w:history="1">
              <w:r w:rsidR="00902FA9" w:rsidRPr="00902FA9">
                <w:rPr>
                  <w:rStyle w:val="Hyperlink"/>
                </w:rPr>
                <w:t>College FAQ page</w:t>
              </w:r>
            </w:hyperlink>
            <w:r w:rsidR="00902FA9">
              <w:t xml:space="preserve">. </w:t>
            </w:r>
            <w:r w:rsidRPr="00B608A9">
              <w:t>Enter as much data as possible</w:t>
            </w:r>
            <w:r w:rsidR="00A4020B">
              <w:t xml:space="preserve"> using the Safety Data Sheet for reference.</w:t>
            </w:r>
            <w:r w:rsidR="00902FA9">
              <w:t xml:space="preserve"> There is no need to fill out the EPA waste code. The DG class and Packing Group is available on </w:t>
            </w:r>
            <w:proofErr w:type="spellStart"/>
            <w:r w:rsidR="00902FA9">
              <w:t>Chemwatch</w:t>
            </w:r>
            <w:proofErr w:type="spellEnd"/>
            <w:r w:rsidR="00902FA9">
              <w:t xml:space="preserve"> SDS Section 14 Transport Information.</w:t>
            </w:r>
          </w:p>
        </w:tc>
      </w:tr>
      <w:tr w:rsidR="006046ED" w:rsidRPr="003167B7" w14:paraId="4D33BDE7" w14:textId="77777777" w:rsidTr="00BB39F3">
        <w:tc>
          <w:tcPr>
            <w:tcW w:w="328" w:type="dxa"/>
            <w:shd w:val="clear" w:color="auto" w:fill="auto"/>
          </w:tcPr>
          <w:p w14:paraId="63BB53AF" w14:textId="77777777" w:rsidR="006046ED" w:rsidRPr="003167B7" w:rsidRDefault="006046ED" w:rsidP="006E4F27">
            <w:pPr>
              <w:ind w:right="-144"/>
            </w:pPr>
            <w:r w:rsidRPr="003167B7">
              <w:t>3</w:t>
            </w:r>
          </w:p>
        </w:tc>
        <w:tc>
          <w:tcPr>
            <w:tcW w:w="10353" w:type="dxa"/>
            <w:shd w:val="clear" w:color="auto" w:fill="auto"/>
          </w:tcPr>
          <w:p w14:paraId="24863F36" w14:textId="0360565C" w:rsidR="006046ED" w:rsidRPr="003167B7" w:rsidRDefault="00B608A9" w:rsidP="00A66770">
            <w:pPr>
              <w:ind w:right="-144"/>
            </w:pPr>
            <w:r w:rsidRPr="00B608A9">
              <w:t xml:space="preserve">Email manifest of hazardous chemicals to </w:t>
            </w:r>
            <w:hyperlink r:id="rId14" w:history="1">
              <w:r w:rsidR="00C86C51" w:rsidRPr="00137FB7">
                <w:rPr>
                  <w:rStyle w:val="Hyperlink"/>
                </w:rPr>
                <w:t>cse.whs@flinders.edu.au</w:t>
              </w:r>
            </w:hyperlink>
            <w:r w:rsidR="00B84F5C">
              <w:t xml:space="preserve"> </w:t>
            </w:r>
          </w:p>
        </w:tc>
      </w:tr>
      <w:tr w:rsidR="006046ED" w:rsidRPr="003167B7" w14:paraId="0DE07CDB" w14:textId="77777777" w:rsidTr="00BB39F3">
        <w:tc>
          <w:tcPr>
            <w:tcW w:w="328" w:type="dxa"/>
            <w:shd w:val="clear" w:color="auto" w:fill="auto"/>
          </w:tcPr>
          <w:p w14:paraId="5509251A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353" w:type="dxa"/>
            <w:shd w:val="clear" w:color="auto" w:fill="auto"/>
          </w:tcPr>
          <w:p w14:paraId="5AE13CA5" w14:textId="77777777" w:rsidR="006046ED" w:rsidRPr="003167B7" w:rsidRDefault="00B608A9" w:rsidP="006E4F27">
            <w:pPr>
              <w:ind w:right="-144"/>
            </w:pPr>
            <w:r w:rsidRPr="00B608A9">
              <w:t>Ensure approval to transfer waste has been received before proceeding</w:t>
            </w:r>
          </w:p>
        </w:tc>
      </w:tr>
      <w:tr w:rsidR="006046ED" w:rsidRPr="003167B7" w14:paraId="37E4E941" w14:textId="77777777" w:rsidTr="00BB39F3">
        <w:tc>
          <w:tcPr>
            <w:tcW w:w="328" w:type="dxa"/>
            <w:shd w:val="clear" w:color="auto" w:fill="auto"/>
          </w:tcPr>
          <w:p w14:paraId="78229B26" w14:textId="77777777" w:rsidR="006046ED" w:rsidRPr="003167B7" w:rsidRDefault="006046ED" w:rsidP="006E4F27">
            <w:pPr>
              <w:ind w:right="-144"/>
            </w:pPr>
            <w:r>
              <w:t>5</w:t>
            </w:r>
          </w:p>
        </w:tc>
        <w:tc>
          <w:tcPr>
            <w:tcW w:w="10353" w:type="dxa"/>
            <w:shd w:val="clear" w:color="auto" w:fill="auto"/>
          </w:tcPr>
          <w:p w14:paraId="62A6E67B" w14:textId="77777777" w:rsidR="006046ED" w:rsidRPr="003167B7" w:rsidRDefault="00E56E45" w:rsidP="006E4F27">
            <w:pPr>
              <w:ind w:right="-144"/>
            </w:pPr>
            <w:r>
              <w:t>Organise a time with the Work Health Safety Officer or a member of your laboratory group who is experience</w:t>
            </w:r>
            <w:r w:rsidR="00C52739">
              <w:t>d with hazardous waste disposal to assist you with the transportation.</w:t>
            </w:r>
          </w:p>
        </w:tc>
      </w:tr>
      <w:tr w:rsidR="00E3676C" w:rsidRPr="003167B7" w14:paraId="06366EEA" w14:textId="77777777" w:rsidTr="00BB39F3">
        <w:tc>
          <w:tcPr>
            <w:tcW w:w="328" w:type="dxa"/>
            <w:shd w:val="clear" w:color="auto" w:fill="auto"/>
          </w:tcPr>
          <w:p w14:paraId="63D54405" w14:textId="77777777" w:rsidR="00E3676C" w:rsidRDefault="00E3676C" w:rsidP="006E4F27">
            <w:pPr>
              <w:ind w:right="-144"/>
            </w:pPr>
            <w:r>
              <w:t>6</w:t>
            </w:r>
          </w:p>
        </w:tc>
        <w:tc>
          <w:tcPr>
            <w:tcW w:w="10353" w:type="dxa"/>
            <w:shd w:val="clear" w:color="auto" w:fill="auto"/>
          </w:tcPr>
          <w:p w14:paraId="079F52C1" w14:textId="77777777" w:rsidR="00E3676C" w:rsidRDefault="00E3676C" w:rsidP="006E4F27">
            <w:pPr>
              <w:ind w:right="-144"/>
            </w:pPr>
            <w:r w:rsidRPr="00E3676C">
              <w:t>Consider the use of PPE relevant to the waste that will be t</w:t>
            </w:r>
            <w:r>
              <w:t>ransported. Use the Safety Data Sheet to ensure correct PPE is adhered to.</w:t>
            </w:r>
          </w:p>
        </w:tc>
      </w:tr>
    </w:tbl>
    <w:p w14:paraId="7149AE58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7D5A81F1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32B24DAC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OPERATIONAL SAFETY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4F2812B3" w14:textId="77777777" w:rsidTr="00E3676C">
        <w:tc>
          <w:tcPr>
            <w:tcW w:w="328" w:type="dxa"/>
            <w:shd w:val="clear" w:color="auto" w:fill="auto"/>
          </w:tcPr>
          <w:p w14:paraId="1437FF2D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132" w:type="dxa"/>
            <w:shd w:val="clear" w:color="auto" w:fill="auto"/>
          </w:tcPr>
          <w:p w14:paraId="4345284E" w14:textId="461C41D1" w:rsidR="006046ED" w:rsidRPr="003167B7" w:rsidRDefault="00B608A9" w:rsidP="00B84F5C">
            <w:pPr>
              <w:ind w:right="-144"/>
            </w:pPr>
            <w:r>
              <w:t>Collect the k</w:t>
            </w:r>
            <w:r w:rsidRPr="00B608A9">
              <w:t>ey to Carpar</w:t>
            </w:r>
            <w:r>
              <w:t xml:space="preserve">k 7 bulk solvent store </w:t>
            </w:r>
            <w:r w:rsidRPr="00B608A9">
              <w:t xml:space="preserve">from the </w:t>
            </w:r>
            <w:r w:rsidR="00C86C51">
              <w:t>College</w:t>
            </w:r>
            <w:r w:rsidRPr="00B608A9">
              <w:t xml:space="preserve"> store (2 people must be in attendance or key will not be handed out)</w:t>
            </w:r>
            <w:r>
              <w:t>.</w:t>
            </w:r>
            <w:r w:rsidR="00B84F5C">
              <w:t xml:space="preserve"> </w:t>
            </w:r>
          </w:p>
        </w:tc>
      </w:tr>
      <w:tr w:rsidR="006046ED" w:rsidRPr="003167B7" w14:paraId="5E55EFE6" w14:textId="77777777" w:rsidTr="00E3676C">
        <w:tc>
          <w:tcPr>
            <w:tcW w:w="328" w:type="dxa"/>
            <w:shd w:val="clear" w:color="auto" w:fill="auto"/>
          </w:tcPr>
          <w:p w14:paraId="4F62391D" w14:textId="77777777" w:rsidR="006046ED" w:rsidRPr="00073A22" w:rsidRDefault="006046ED" w:rsidP="006E4F27">
            <w:pPr>
              <w:ind w:right="-144"/>
            </w:pPr>
            <w:r w:rsidRPr="00073A22">
              <w:t>2</w:t>
            </w:r>
          </w:p>
        </w:tc>
        <w:tc>
          <w:tcPr>
            <w:tcW w:w="10132" w:type="dxa"/>
            <w:shd w:val="clear" w:color="auto" w:fill="auto"/>
          </w:tcPr>
          <w:p w14:paraId="0635F072" w14:textId="3007E43C" w:rsidR="006046ED" w:rsidRPr="003167B7" w:rsidRDefault="006B0612" w:rsidP="00D94FA8">
            <w:pPr>
              <w:ind w:right="-144"/>
            </w:pPr>
            <w:r w:rsidRPr="00073A22">
              <w:t xml:space="preserve">If only transporting a small quantity of </w:t>
            </w:r>
            <w:proofErr w:type="gramStart"/>
            <w:r w:rsidRPr="00073A22">
              <w:t>waste</w:t>
            </w:r>
            <w:proofErr w:type="gramEnd"/>
            <w:r w:rsidRPr="00073A22">
              <w:t xml:space="preserve"> it may be carried in a secondary container. A trolley should be used for mixed waste or larger quantities. </w:t>
            </w:r>
            <w:r w:rsidR="00C86C51">
              <w:t>A</w:t>
            </w:r>
            <w:r w:rsidR="00B84F5C" w:rsidRPr="00073A22">
              <w:t xml:space="preserve"> bunded trolley </w:t>
            </w:r>
            <w:r w:rsidR="00C86C51">
              <w:t xml:space="preserve">should be used </w:t>
            </w:r>
            <w:r w:rsidR="00B84F5C" w:rsidRPr="00073A22">
              <w:t>for transporting of hazardous chemicals</w:t>
            </w:r>
            <w:r w:rsidR="0066757A">
              <w:t xml:space="preserve"> and</w:t>
            </w:r>
            <w:r w:rsidR="00C86C51">
              <w:t xml:space="preserve"> can be borrowed from the</w:t>
            </w:r>
            <w:r w:rsidR="0066757A">
              <w:t xml:space="preserve"> College</w:t>
            </w:r>
            <w:r w:rsidR="00C86C51">
              <w:t xml:space="preserve"> store</w:t>
            </w:r>
            <w:r w:rsidR="0066757A">
              <w:t>.</w:t>
            </w:r>
            <w:r w:rsidR="00B84F5C" w:rsidRPr="00073A22">
              <w:t xml:space="preserve"> </w:t>
            </w:r>
            <w:r w:rsidR="00B608A9" w:rsidRPr="00073A22">
              <w:t xml:space="preserve">Load trolley with hazardous chemicals. Ensure careful attention to </w:t>
            </w:r>
            <w:r w:rsidR="00E56E45" w:rsidRPr="00073A22">
              <w:t xml:space="preserve">segregation of chemicals where necessary using </w:t>
            </w:r>
            <w:r w:rsidR="00D94FA8" w:rsidRPr="00073A22">
              <w:t>figure 2 for reference</w:t>
            </w:r>
            <w:r w:rsidR="00E56E45" w:rsidRPr="00073A22">
              <w:t>.</w:t>
            </w:r>
            <w:r w:rsidR="00E3676C" w:rsidRPr="00073A22">
              <w:t xml:space="preserve"> It may be necessary to use plastic tubs </w:t>
            </w:r>
            <w:r w:rsidR="0066757A">
              <w:t xml:space="preserve">also </w:t>
            </w:r>
            <w:r w:rsidR="00E3676C" w:rsidRPr="00073A22">
              <w:t>available at the</w:t>
            </w:r>
            <w:r w:rsidR="0066757A">
              <w:t xml:space="preserve"> College</w:t>
            </w:r>
            <w:r w:rsidR="00E3676C" w:rsidRPr="00073A22">
              <w:t xml:space="preserve"> Store to segregate chemicals or make repeated trips.</w:t>
            </w:r>
          </w:p>
        </w:tc>
      </w:tr>
      <w:tr w:rsidR="006046ED" w:rsidRPr="003167B7" w14:paraId="20739FB9" w14:textId="77777777" w:rsidTr="00E3676C">
        <w:tc>
          <w:tcPr>
            <w:tcW w:w="328" w:type="dxa"/>
            <w:shd w:val="clear" w:color="auto" w:fill="auto"/>
          </w:tcPr>
          <w:p w14:paraId="21E12405" w14:textId="77777777" w:rsidR="006046ED" w:rsidRPr="00073A22" w:rsidRDefault="006046ED" w:rsidP="006E4F27">
            <w:pPr>
              <w:ind w:right="-144"/>
            </w:pPr>
            <w:r w:rsidRPr="00073A22">
              <w:t>3</w:t>
            </w:r>
          </w:p>
        </w:tc>
        <w:tc>
          <w:tcPr>
            <w:tcW w:w="10132" w:type="dxa"/>
            <w:shd w:val="clear" w:color="auto" w:fill="auto"/>
          </w:tcPr>
          <w:p w14:paraId="552FA902" w14:textId="3F4270B0" w:rsidR="006046ED" w:rsidRPr="003167B7" w:rsidRDefault="00E3676C" w:rsidP="00D94FA8">
            <w:pPr>
              <w:ind w:right="-144"/>
            </w:pPr>
            <w:r w:rsidRPr="00073A22">
              <w:t>If a lift is required to access</w:t>
            </w:r>
            <w:r w:rsidR="0066757A">
              <w:t xml:space="preserve"> the solvent store, </w:t>
            </w:r>
            <w:r w:rsidRPr="00073A22">
              <w:t>the lift barrier must be engaged</w:t>
            </w:r>
            <w:r w:rsidR="000A0EA8" w:rsidRPr="00073A22">
              <w:t xml:space="preserve"> on the inside of the lift doors</w:t>
            </w:r>
            <w:r w:rsidRPr="00073A22">
              <w:t xml:space="preserve"> </w:t>
            </w:r>
            <w:r w:rsidR="00D94FA8" w:rsidRPr="00073A22">
              <w:t xml:space="preserve">as per figure 1 below </w:t>
            </w:r>
            <w:r w:rsidRPr="00073A22">
              <w:t>and personnel must not travel in the lift with the waste.</w:t>
            </w:r>
          </w:p>
        </w:tc>
      </w:tr>
      <w:tr w:rsidR="006046ED" w:rsidRPr="003167B7" w14:paraId="092B83FB" w14:textId="77777777" w:rsidTr="00E3676C">
        <w:tc>
          <w:tcPr>
            <w:tcW w:w="328" w:type="dxa"/>
            <w:shd w:val="clear" w:color="auto" w:fill="auto"/>
          </w:tcPr>
          <w:p w14:paraId="0EC34890" w14:textId="77777777" w:rsidR="006046ED" w:rsidRPr="003167B7" w:rsidRDefault="006046ED" w:rsidP="006E4F27">
            <w:pPr>
              <w:ind w:right="-144"/>
            </w:pPr>
            <w:r>
              <w:t>4</w:t>
            </w:r>
          </w:p>
        </w:tc>
        <w:tc>
          <w:tcPr>
            <w:tcW w:w="10132" w:type="dxa"/>
            <w:shd w:val="clear" w:color="auto" w:fill="auto"/>
          </w:tcPr>
          <w:p w14:paraId="74C3734F" w14:textId="77777777" w:rsidR="00E3676C" w:rsidRPr="003167B7" w:rsidRDefault="00E3676C" w:rsidP="00197674">
            <w:pPr>
              <w:ind w:right="-144"/>
            </w:pPr>
            <w:r>
              <w:t>Waste must</w:t>
            </w:r>
            <w:r w:rsidR="006B0612">
              <w:t xml:space="preserve"> be transported</w:t>
            </w:r>
            <w:r>
              <w:t xml:space="preserve"> to the bulk solvent store.</w:t>
            </w:r>
            <w:r w:rsidR="006B0612">
              <w:t xml:space="preserve"> </w:t>
            </w:r>
            <w:r w:rsidR="006B0612" w:rsidRPr="006B0612">
              <w:t xml:space="preserve">Waste should be left on the </w:t>
            </w:r>
            <w:proofErr w:type="gramStart"/>
            <w:r w:rsidR="006B0612" w:rsidRPr="006B0612">
              <w:t>right hand</w:t>
            </w:r>
            <w:proofErr w:type="gramEnd"/>
            <w:r w:rsidR="006B0612" w:rsidRPr="006B0612">
              <w:t xml:space="preserve"> side shelving </w:t>
            </w:r>
            <w:r w:rsidR="00197674">
              <w:t>ensuring</w:t>
            </w:r>
            <w:r w:rsidR="006B0612" w:rsidRPr="006B0612">
              <w:t xml:space="preserve"> appropriate segregation </w:t>
            </w:r>
            <w:r w:rsidR="00197674">
              <w:t>an</w:t>
            </w:r>
            <w:r w:rsidR="006B0612" w:rsidRPr="006B0612">
              <w:t>d labelling is correct.</w:t>
            </w:r>
          </w:p>
        </w:tc>
      </w:tr>
      <w:tr w:rsidR="00E3676C" w:rsidRPr="003167B7" w14:paraId="09EACCD9" w14:textId="77777777" w:rsidTr="00E3676C">
        <w:tc>
          <w:tcPr>
            <w:tcW w:w="328" w:type="dxa"/>
            <w:shd w:val="clear" w:color="auto" w:fill="auto"/>
          </w:tcPr>
          <w:p w14:paraId="6572E569" w14:textId="77777777" w:rsidR="00E3676C" w:rsidRDefault="00E3676C" w:rsidP="006E4F27">
            <w:pPr>
              <w:ind w:right="-144"/>
            </w:pPr>
            <w:r>
              <w:t>5</w:t>
            </w:r>
          </w:p>
        </w:tc>
        <w:tc>
          <w:tcPr>
            <w:tcW w:w="10132" w:type="dxa"/>
            <w:shd w:val="clear" w:color="auto" w:fill="auto"/>
          </w:tcPr>
          <w:p w14:paraId="03D7D3F3" w14:textId="77777777" w:rsidR="00E3676C" w:rsidRDefault="006B0612" w:rsidP="006E4F27">
            <w:pPr>
              <w:ind w:right="-144"/>
            </w:pPr>
            <w:r>
              <w:t>Ensure the door to the solvent store is closed and locked.</w:t>
            </w:r>
          </w:p>
        </w:tc>
      </w:tr>
    </w:tbl>
    <w:p w14:paraId="0FC163D2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0CBEB146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091F319B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POST-OPERATIONAL</w:t>
            </w:r>
          </w:p>
        </w:tc>
      </w:tr>
    </w:tbl>
    <w:tbl>
      <w:tblPr>
        <w:tblW w:w="0" w:type="auto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2"/>
      </w:tblGrid>
      <w:tr w:rsidR="006046ED" w:rsidRPr="003167B7" w14:paraId="54A31FC6" w14:textId="77777777" w:rsidTr="006520AC">
        <w:tc>
          <w:tcPr>
            <w:tcW w:w="328" w:type="dxa"/>
            <w:shd w:val="clear" w:color="auto" w:fill="auto"/>
          </w:tcPr>
          <w:p w14:paraId="0AA3731F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132" w:type="dxa"/>
            <w:shd w:val="clear" w:color="auto" w:fill="auto"/>
          </w:tcPr>
          <w:p w14:paraId="3B841194" w14:textId="0DC6DFDB" w:rsidR="006046ED" w:rsidRPr="003167B7" w:rsidRDefault="00ED56E1" w:rsidP="00B84F5C">
            <w:pPr>
              <w:ind w:right="-144"/>
            </w:pPr>
            <w:r>
              <w:t>Return the key to</w:t>
            </w:r>
            <w:r w:rsidR="0066757A">
              <w:t xml:space="preserve"> College</w:t>
            </w:r>
            <w:r>
              <w:t xml:space="preserve"> Store.</w:t>
            </w:r>
          </w:p>
        </w:tc>
      </w:tr>
      <w:tr w:rsidR="006046ED" w:rsidRPr="003167B7" w14:paraId="09584243" w14:textId="77777777" w:rsidTr="006520AC">
        <w:tc>
          <w:tcPr>
            <w:tcW w:w="328" w:type="dxa"/>
            <w:shd w:val="clear" w:color="auto" w:fill="auto"/>
          </w:tcPr>
          <w:p w14:paraId="1106D3F0" w14:textId="77777777" w:rsidR="006046ED" w:rsidRPr="00073A22" w:rsidRDefault="006046ED" w:rsidP="006E4F27">
            <w:pPr>
              <w:ind w:right="-144"/>
            </w:pPr>
            <w:r w:rsidRPr="00073A22">
              <w:t>2</w:t>
            </w:r>
          </w:p>
        </w:tc>
        <w:tc>
          <w:tcPr>
            <w:tcW w:w="10132" w:type="dxa"/>
            <w:shd w:val="clear" w:color="auto" w:fill="auto"/>
          </w:tcPr>
          <w:p w14:paraId="4DFD4BF8" w14:textId="4A426F99" w:rsidR="006046ED" w:rsidRPr="003167B7" w:rsidRDefault="006520AC" w:rsidP="00B84F5C">
            <w:pPr>
              <w:ind w:right="-144"/>
            </w:pPr>
            <w:r w:rsidRPr="00073A22">
              <w:t>If used, r</w:t>
            </w:r>
            <w:r w:rsidR="00B84F5C" w:rsidRPr="00073A22">
              <w:t xml:space="preserve">eturn the bunded trolley </w:t>
            </w:r>
            <w:r w:rsidR="0066757A">
              <w:t>to the College Store</w:t>
            </w:r>
            <w:r w:rsidR="00B84F5C" w:rsidRPr="00073A22">
              <w:t>.</w:t>
            </w:r>
          </w:p>
        </w:tc>
      </w:tr>
    </w:tbl>
    <w:p w14:paraId="19F2BDAA" w14:textId="77777777" w:rsidR="006046ED" w:rsidRPr="00F31510" w:rsidRDefault="006046ED" w:rsidP="00F32464">
      <w:pPr>
        <w:rPr>
          <w:sz w:val="12"/>
          <w:szCs w:val="12"/>
        </w:rPr>
      </w:pPr>
    </w:p>
    <w:p w14:paraId="1062D483" w14:textId="77777777" w:rsidR="006046ED" w:rsidRPr="00F31510" w:rsidRDefault="006046ED" w:rsidP="00F3246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46098A7F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3A7F7072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>MAINTENANCE</w:t>
            </w:r>
          </w:p>
        </w:tc>
      </w:tr>
    </w:tbl>
    <w:tbl>
      <w:tblPr>
        <w:tblW w:w="10489" w:type="dxa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61"/>
      </w:tblGrid>
      <w:tr w:rsidR="006046ED" w:rsidRPr="003167B7" w14:paraId="75C857B3" w14:textId="77777777" w:rsidTr="00EF3385">
        <w:tc>
          <w:tcPr>
            <w:tcW w:w="328" w:type="dxa"/>
            <w:shd w:val="clear" w:color="auto" w:fill="auto"/>
          </w:tcPr>
          <w:p w14:paraId="7713161B" w14:textId="77777777" w:rsidR="006046ED" w:rsidRPr="003167B7" w:rsidRDefault="006046ED" w:rsidP="006E4F27">
            <w:pPr>
              <w:ind w:right="-144"/>
            </w:pPr>
            <w:r w:rsidRPr="003167B7">
              <w:t>1</w:t>
            </w:r>
          </w:p>
        </w:tc>
        <w:tc>
          <w:tcPr>
            <w:tcW w:w="10161" w:type="dxa"/>
            <w:shd w:val="clear" w:color="auto" w:fill="auto"/>
          </w:tcPr>
          <w:p w14:paraId="32440032" w14:textId="04B1222A" w:rsidR="006046ED" w:rsidRPr="003167B7" w:rsidRDefault="00094C3C" w:rsidP="006E4F27">
            <w:pPr>
              <w:ind w:right="-144"/>
            </w:pPr>
            <w:r>
              <w:t>Be aware of the location of your nearest spill kits. Each laboratory should have a spill kit</w:t>
            </w:r>
            <w:r w:rsidR="0066757A">
              <w:t>.</w:t>
            </w:r>
            <w:r>
              <w:t xml:space="preserve"> A larger spill kit is available </w:t>
            </w:r>
            <w:r w:rsidR="0066757A">
              <w:t>centrally in most buildings as well.</w:t>
            </w:r>
          </w:p>
        </w:tc>
      </w:tr>
    </w:tbl>
    <w:p w14:paraId="21D9708E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6ED" w14:paraId="2F7F3A8D" w14:textId="77777777" w:rsidTr="00BB39F3">
        <w:tc>
          <w:tcPr>
            <w:tcW w:w="10682" w:type="dxa"/>
            <w:shd w:val="clear" w:color="auto" w:fill="17365D" w:themeFill="text2" w:themeFillShade="BF"/>
            <w:vAlign w:val="center"/>
          </w:tcPr>
          <w:p w14:paraId="2DBFBB3F" w14:textId="77777777" w:rsidR="006046ED" w:rsidRPr="00BB39F3" w:rsidRDefault="006046ED" w:rsidP="00BB39F3">
            <w:pPr>
              <w:rPr>
                <w:b/>
                <w:sz w:val="22"/>
                <w:szCs w:val="22"/>
              </w:rPr>
            </w:pPr>
            <w:r w:rsidRPr="00BB39F3">
              <w:rPr>
                <w:b/>
                <w:sz w:val="22"/>
                <w:szCs w:val="22"/>
              </w:rPr>
              <w:t xml:space="preserve">REFERENCES </w:t>
            </w:r>
            <w:r w:rsidR="00F6363C" w:rsidRPr="00F6363C">
              <w:rPr>
                <w:b/>
                <w:sz w:val="16"/>
                <w:szCs w:val="16"/>
              </w:rPr>
              <w:t>(EG. MANUFACTURER’S MANUALS / AUSTRALIAN STANDARDS)</w:t>
            </w:r>
          </w:p>
        </w:tc>
      </w:tr>
    </w:tbl>
    <w:tbl>
      <w:tblPr>
        <w:tblW w:w="10461" w:type="dxa"/>
        <w:tblInd w:w="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10133"/>
      </w:tblGrid>
      <w:tr w:rsidR="006046ED" w:rsidRPr="003167B7" w14:paraId="19581E77" w14:textId="77777777" w:rsidTr="00EF3385">
        <w:tc>
          <w:tcPr>
            <w:tcW w:w="328" w:type="dxa"/>
            <w:shd w:val="clear" w:color="auto" w:fill="auto"/>
          </w:tcPr>
          <w:p w14:paraId="3EF604D2" w14:textId="77777777" w:rsidR="006046ED" w:rsidRPr="003167B7" w:rsidRDefault="006046ED" w:rsidP="006E4F27">
            <w:pPr>
              <w:ind w:right="-144"/>
            </w:pPr>
            <w:r w:rsidRPr="003167B7">
              <w:lastRenderedPageBreak/>
              <w:t>1</w:t>
            </w:r>
          </w:p>
        </w:tc>
        <w:tc>
          <w:tcPr>
            <w:tcW w:w="10133" w:type="dxa"/>
            <w:shd w:val="clear" w:color="auto" w:fill="auto"/>
          </w:tcPr>
          <w:p w14:paraId="7F23BEB5" w14:textId="00F264AE" w:rsidR="006046ED" w:rsidRPr="003167B7" w:rsidRDefault="0054090C" w:rsidP="00582F04">
            <w:pPr>
              <w:ind w:right="-144"/>
            </w:pPr>
            <w:r>
              <w:t xml:space="preserve">Use in conjunction with the </w:t>
            </w:r>
            <w:r w:rsidR="0066757A">
              <w:t>C</w:t>
            </w:r>
            <w:r>
              <w:t>SE Proc</w:t>
            </w:r>
            <w:r w:rsidR="00197674">
              <w:t>e</w:t>
            </w:r>
            <w:r w:rsidR="00582F04">
              <w:t xml:space="preserve">dure for Faculty Solvent Store found on the </w:t>
            </w:r>
            <w:hyperlink r:id="rId15" w:history="1">
              <w:r w:rsidR="0066757A" w:rsidRPr="00902FA9">
                <w:rPr>
                  <w:rStyle w:val="Hyperlink"/>
                </w:rPr>
                <w:t>College FAQ page</w:t>
              </w:r>
            </w:hyperlink>
          </w:p>
        </w:tc>
      </w:tr>
    </w:tbl>
    <w:p w14:paraId="649586AE" w14:textId="77777777" w:rsidR="000A0EA8" w:rsidRDefault="000A0EA8" w:rsidP="000A0EA8"/>
    <w:p w14:paraId="575CBE0A" w14:textId="77777777" w:rsidR="006046ED" w:rsidRPr="000B5767" w:rsidRDefault="006046ED" w:rsidP="00F32464">
      <w:pPr>
        <w:rPr>
          <w:sz w:val="16"/>
          <w:szCs w:val="16"/>
        </w:rPr>
      </w:pPr>
    </w:p>
    <w:tbl>
      <w:tblPr>
        <w:tblStyle w:val="TableGrid"/>
        <w:tblW w:w="10461" w:type="dxa"/>
        <w:tblInd w:w="24" w:type="dxa"/>
        <w:tblLook w:val="04A0" w:firstRow="1" w:lastRow="0" w:firstColumn="1" w:lastColumn="0" w:noHBand="0" w:noVBand="1"/>
      </w:tblPr>
      <w:tblGrid>
        <w:gridCol w:w="1560"/>
        <w:gridCol w:w="3331"/>
        <w:gridCol w:w="3473"/>
        <w:gridCol w:w="2097"/>
      </w:tblGrid>
      <w:tr w:rsidR="006046ED" w14:paraId="0257195A" w14:textId="77777777" w:rsidTr="00EF3385">
        <w:tc>
          <w:tcPr>
            <w:tcW w:w="1560" w:type="dxa"/>
            <w:vMerge w:val="restart"/>
          </w:tcPr>
          <w:p w14:paraId="1BF37700" w14:textId="77777777" w:rsidR="006046ED" w:rsidRPr="009C4C91" w:rsidRDefault="006046ED" w:rsidP="006E4F27">
            <w:r w:rsidRPr="009C4C91">
              <w:t>Authorised by Supervisor:</w:t>
            </w:r>
          </w:p>
        </w:tc>
        <w:tc>
          <w:tcPr>
            <w:tcW w:w="3331" w:type="dxa"/>
            <w:tcBorders>
              <w:bottom w:val="nil"/>
            </w:tcBorders>
            <w:vAlign w:val="bottom"/>
          </w:tcPr>
          <w:p w14:paraId="66290E05" w14:textId="77777777" w:rsidR="006046ED" w:rsidRPr="009C4C91" w:rsidRDefault="006046ED" w:rsidP="006E4F27"/>
        </w:tc>
        <w:tc>
          <w:tcPr>
            <w:tcW w:w="3473" w:type="dxa"/>
            <w:tcBorders>
              <w:bottom w:val="nil"/>
            </w:tcBorders>
            <w:vAlign w:val="bottom"/>
          </w:tcPr>
          <w:p w14:paraId="500BB98C" w14:textId="77777777" w:rsidR="006046ED" w:rsidRPr="009C4C91" w:rsidRDefault="006046ED" w:rsidP="006E4F27"/>
        </w:tc>
        <w:tc>
          <w:tcPr>
            <w:tcW w:w="2097" w:type="dxa"/>
            <w:tcBorders>
              <w:bottom w:val="nil"/>
            </w:tcBorders>
            <w:vAlign w:val="bottom"/>
          </w:tcPr>
          <w:p w14:paraId="6CDA00A1" w14:textId="77777777" w:rsidR="006046ED" w:rsidRPr="009C4C91" w:rsidRDefault="006046ED" w:rsidP="006E4F27"/>
        </w:tc>
      </w:tr>
      <w:tr w:rsidR="000A0EA8" w14:paraId="3B416BD7" w14:textId="77777777" w:rsidTr="00EF3385">
        <w:tc>
          <w:tcPr>
            <w:tcW w:w="1560" w:type="dxa"/>
            <w:vMerge/>
          </w:tcPr>
          <w:p w14:paraId="627444B8" w14:textId="77777777" w:rsidR="000A0EA8" w:rsidRPr="009C4C91" w:rsidRDefault="000A0EA8" w:rsidP="006E4F27"/>
        </w:tc>
        <w:tc>
          <w:tcPr>
            <w:tcW w:w="3331" w:type="dxa"/>
            <w:tcBorders>
              <w:top w:val="nil"/>
            </w:tcBorders>
            <w:vAlign w:val="bottom"/>
          </w:tcPr>
          <w:p w14:paraId="217D3B70" w14:textId="77777777" w:rsidR="000A0EA8" w:rsidRPr="009C4C91" w:rsidRDefault="000A0EA8" w:rsidP="006E4F27">
            <w:pPr>
              <w:rPr>
                <w:i/>
              </w:rPr>
            </w:pPr>
          </w:p>
        </w:tc>
        <w:tc>
          <w:tcPr>
            <w:tcW w:w="3473" w:type="dxa"/>
            <w:tcBorders>
              <w:top w:val="nil"/>
            </w:tcBorders>
            <w:vAlign w:val="bottom"/>
          </w:tcPr>
          <w:p w14:paraId="5C5DF414" w14:textId="77777777" w:rsidR="000A0EA8" w:rsidRPr="009C4C91" w:rsidRDefault="000A0EA8" w:rsidP="006E4F27">
            <w:pPr>
              <w:rPr>
                <w:i/>
              </w:rPr>
            </w:pP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1B698C8B" w14:textId="77777777" w:rsidR="000A0EA8" w:rsidRPr="009C4C91" w:rsidRDefault="000A0EA8" w:rsidP="006E4F27">
            <w:pPr>
              <w:rPr>
                <w:i/>
              </w:rPr>
            </w:pPr>
          </w:p>
        </w:tc>
      </w:tr>
      <w:tr w:rsidR="006046ED" w14:paraId="1C7FCFB4" w14:textId="77777777" w:rsidTr="00EF3385">
        <w:tc>
          <w:tcPr>
            <w:tcW w:w="1560" w:type="dxa"/>
            <w:vMerge/>
          </w:tcPr>
          <w:p w14:paraId="57D2EB8C" w14:textId="77777777" w:rsidR="006046ED" w:rsidRPr="009C4C91" w:rsidRDefault="006046ED" w:rsidP="006E4F27"/>
        </w:tc>
        <w:tc>
          <w:tcPr>
            <w:tcW w:w="3331" w:type="dxa"/>
            <w:tcBorders>
              <w:top w:val="nil"/>
            </w:tcBorders>
            <w:vAlign w:val="bottom"/>
          </w:tcPr>
          <w:p w14:paraId="51A34EE6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Name</w:t>
            </w:r>
          </w:p>
        </w:tc>
        <w:tc>
          <w:tcPr>
            <w:tcW w:w="3473" w:type="dxa"/>
            <w:tcBorders>
              <w:top w:val="nil"/>
            </w:tcBorders>
            <w:vAlign w:val="bottom"/>
          </w:tcPr>
          <w:p w14:paraId="01169CC2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Signature</w:t>
            </w: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5B8871BA" w14:textId="77777777" w:rsidR="006046ED" w:rsidRPr="009C4C91" w:rsidRDefault="006046ED" w:rsidP="006E4F27">
            <w:pPr>
              <w:rPr>
                <w:i/>
              </w:rPr>
            </w:pPr>
            <w:r w:rsidRPr="009C4C91">
              <w:rPr>
                <w:i/>
              </w:rPr>
              <w:t>Date</w:t>
            </w:r>
          </w:p>
        </w:tc>
      </w:tr>
    </w:tbl>
    <w:p w14:paraId="6E4FF73E" w14:textId="77777777" w:rsidR="000A0EA8" w:rsidRDefault="000A0EA8" w:rsidP="006046ED">
      <w:pPr>
        <w:rPr>
          <w:b/>
          <w:sz w:val="22"/>
          <w:szCs w:val="22"/>
        </w:rPr>
      </w:pPr>
    </w:p>
    <w:p w14:paraId="0CCCF0F9" w14:textId="77777777" w:rsidR="006046ED" w:rsidRPr="00790CF9" w:rsidRDefault="006046ED" w:rsidP="006046ED">
      <w:pPr>
        <w:rPr>
          <w:b/>
          <w:sz w:val="22"/>
          <w:szCs w:val="22"/>
        </w:rPr>
      </w:pPr>
      <w:r w:rsidRPr="00790CF9">
        <w:rPr>
          <w:b/>
          <w:sz w:val="22"/>
          <w:szCs w:val="22"/>
        </w:rPr>
        <w:t>Declaration</w:t>
      </w:r>
    </w:p>
    <w:p w14:paraId="2D454637" w14:textId="77777777" w:rsidR="006046ED" w:rsidRDefault="006046ED" w:rsidP="006046ED">
      <w:r>
        <w:t xml:space="preserve">I hereby state that I have read and understood the Safe Work Procedure on the previous </w:t>
      </w:r>
      <w:proofErr w:type="gramStart"/>
      <w:r>
        <w:t>page, and</w:t>
      </w:r>
      <w:proofErr w:type="gramEnd"/>
      <w:r>
        <w:t xml:space="preserve"> will abide by the operating requirements.</w:t>
      </w:r>
    </w:p>
    <w:tbl>
      <w:tblPr>
        <w:tblStyle w:val="TableProfessional"/>
        <w:tblW w:w="10486" w:type="dxa"/>
        <w:tblInd w:w="-4" w:type="dxa"/>
        <w:tblLook w:val="04A0" w:firstRow="1" w:lastRow="0" w:firstColumn="1" w:lastColumn="0" w:noHBand="0" w:noVBand="1"/>
      </w:tblPr>
      <w:tblGrid>
        <w:gridCol w:w="4182"/>
        <w:gridCol w:w="4182"/>
        <w:gridCol w:w="2122"/>
      </w:tblGrid>
      <w:tr w:rsidR="006046ED" w14:paraId="1C6623DB" w14:textId="77777777" w:rsidTr="00EF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82" w:type="dxa"/>
            <w:shd w:val="clear" w:color="auto" w:fill="17365D" w:themeFill="text2" w:themeFillShade="BF"/>
          </w:tcPr>
          <w:p w14:paraId="55A389F1" w14:textId="77777777" w:rsidR="006046ED" w:rsidRDefault="006046ED" w:rsidP="006E4F27">
            <w:r>
              <w:t>Name</w:t>
            </w:r>
          </w:p>
        </w:tc>
        <w:tc>
          <w:tcPr>
            <w:tcW w:w="4182" w:type="dxa"/>
            <w:shd w:val="clear" w:color="auto" w:fill="17365D" w:themeFill="text2" w:themeFillShade="BF"/>
          </w:tcPr>
          <w:p w14:paraId="7DEFB3D8" w14:textId="77777777" w:rsidR="006046ED" w:rsidRDefault="006046ED" w:rsidP="006E4F27">
            <w:r>
              <w:t>Signature</w:t>
            </w:r>
          </w:p>
        </w:tc>
        <w:tc>
          <w:tcPr>
            <w:tcW w:w="2122" w:type="dxa"/>
            <w:shd w:val="clear" w:color="auto" w:fill="17365D" w:themeFill="text2" w:themeFillShade="BF"/>
          </w:tcPr>
          <w:p w14:paraId="6FD368BE" w14:textId="77777777" w:rsidR="006046ED" w:rsidRDefault="006046ED" w:rsidP="006E4F27">
            <w:r>
              <w:t>Date</w:t>
            </w:r>
          </w:p>
        </w:tc>
      </w:tr>
      <w:tr w:rsidR="006046ED" w14:paraId="05506C9C" w14:textId="77777777" w:rsidTr="00EF3385">
        <w:tc>
          <w:tcPr>
            <w:tcW w:w="4182" w:type="dxa"/>
          </w:tcPr>
          <w:p w14:paraId="157A5284" w14:textId="77777777" w:rsidR="006046ED" w:rsidRDefault="006046ED" w:rsidP="006E4F27"/>
        </w:tc>
        <w:tc>
          <w:tcPr>
            <w:tcW w:w="4182" w:type="dxa"/>
          </w:tcPr>
          <w:p w14:paraId="10BC5026" w14:textId="77777777" w:rsidR="006046ED" w:rsidRDefault="006046ED" w:rsidP="006E4F27"/>
        </w:tc>
        <w:tc>
          <w:tcPr>
            <w:tcW w:w="2122" w:type="dxa"/>
          </w:tcPr>
          <w:p w14:paraId="235B6C24" w14:textId="77777777" w:rsidR="006046ED" w:rsidRDefault="006046ED" w:rsidP="006E4F27"/>
        </w:tc>
      </w:tr>
      <w:tr w:rsidR="006046ED" w14:paraId="416245E4" w14:textId="77777777" w:rsidTr="00EF3385">
        <w:tc>
          <w:tcPr>
            <w:tcW w:w="4182" w:type="dxa"/>
          </w:tcPr>
          <w:p w14:paraId="796353BE" w14:textId="77777777" w:rsidR="006046ED" w:rsidRDefault="006046ED" w:rsidP="006E4F27"/>
        </w:tc>
        <w:tc>
          <w:tcPr>
            <w:tcW w:w="4182" w:type="dxa"/>
          </w:tcPr>
          <w:p w14:paraId="72908D44" w14:textId="77777777" w:rsidR="006046ED" w:rsidRDefault="006046ED" w:rsidP="006E4F27"/>
        </w:tc>
        <w:tc>
          <w:tcPr>
            <w:tcW w:w="2122" w:type="dxa"/>
          </w:tcPr>
          <w:p w14:paraId="2E88639D" w14:textId="77777777" w:rsidR="006046ED" w:rsidRDefault="006046ED" w:rsidP="006E4F27"/>
        </w:tc>
      </w:tr>
      <w:tr w:rsidR="006046ED" w14:paraId="483223E2" w14:textId="77777777" w:rsidTr="00EF3385">
        <w:tc>
          <w:tcPr>
            <w:tcW w:w="4182" w:type="dxa"/>
          </w:tcPr>
          <w:p w14:paraId="72201D15" w14:textId="77777777" w:rsidR="006046ED" w:rsidRDefault="006046ED" w:rsidP="006E4F27"/>
        </w:tc>
        <w:tc>
          <w:tcPr>
            <w:tcW w:w="4182" w:type="dxa"/>
          </w:tcPr>
          <w:p w14:paraId="5508A5FD" w14:textId="77777777" w:rsidR="006046ED" w:rsidRDefault="006046ED" w:rsidP="006E4F27"/>
        </w:tc>
        <w:tc>
          <w:tcPr>
            <w:tcW w:w="2122" w:type="dxa"/>
          </w:tcPr>
          <w:p w14:paraId="47D4C263" w14:textId="77777777" w:rsidR="006046ED" w:rsidRDefault="006046ED" w:rsidP="006E4F27"/>
        </w:tc>
      </w:tr>
      <w:tr w:rsidR="006046ED" w14:paraId="2537DBBB" w14:textId="77777777" w:rsidTr="00EF3385">
        <w:tc>
          <w:tcPr>
            <w:tcW w:w="4182" w:type="dxa"/>
          </w:tcPr>
          <w:p w14:paraId="46977FB9" w14:textId="77777777" w:rsidR="006046ED" w:rsidRDefault="006046ED" w:rsidP="006E4F27"/>
        </w:tc>
        <w:tc>
          <w:tcPr>
            <w:tcW w:w="4182" w:type="dxa"/>
          </w:tcPr>
          <w:p w14:paraId="3D0BC841" w14:textId="77777777" w:rsidR="006046ED" w:rsidRDefault="006046ED" w:rsidP="006E4F27"/>
        </w:tc>
        <w:tc>
          <w:tcPr>
            <w:tcW w:w="2122" w:type="dxa"/>
          </w:tcPr>
          <w:p w14:paraId="080E3C9C" w14:textId="77777777" w:rsidR="006046ED" w:rsidRDefault="006046ED" w:rsidP="006E4F27"/>
        </w:tc>
      </w:tr>
      <w:tr w:rsidR="000B5767" w14:paraId="1ED5B4B2" w14:textId="77777777" w:rsidTr="00EF3385">
        <w:tc>
          <w:tcPr>
            <w:tcW w:w="4182" w:type="dxa"/>
          </w:tcPr>
          <w:p w14:paraId="6AF54B1B" w14:textId="77777777" w:rsidR="000B5767" w:rsidRDefault="000B5767" w:rsidP="006E4F27"/>
        </w:tc>
        <w:tc>
          <w:tcPr>
            <w:tcW w:w="4182" w:type="dxa"/>
          </w:tcPr>
          <w:p w14:paraId="5F4F3129" w14:textId="77777777" w:rsidR="000B5767" w:rsidRDefault="000B5767" w:rsidP="006E4F27"/>
        </w:tc>
        <w:tc>
          <w:tcPr>
            <w:tcW w:w="2122" w:type="dxa"/>
          </w:tcPr>
          <w:p w14:paraId="7C1DD087" w14:textId="77777777" w:rsidR="000B5767" w:rsidRDefault="000B5767" w:rsidP="006E4F27"/>
        </w:tc>
      </w:tr>
    </w:tbl>
    <w:p w14:paraId="0781C8A4" w14:textId="77777777" w:rsidR="00E3676C" w:rsidRDefault="00E3676C" w:rsidP="006046ED"/>
    <w:p w14:paraId="18FAE2FE" w14:textId="77777777" w:rsidR="00D94FA8" w:rsidRDefault="00D94FA8">
      <w:pPr>
        <w:spacing w:after="200" w:line="276" w:lineRule="auto"/>
      </w:pPr>
    </w:p>
    <w:p w14:paraId="6BE2F294" w14:textId="77777777" w:rsidR="00D94FA8" w:rsidRDefault="00D94FA8">
      <w:pPr>
        <w:spacing w:after="200" w:line="276" w:lineRule="auto"/>
      </w:pPr>
    </w:p>
    <w:p w14:paraId="7C80FC77" w14:textId="77777777" w:rsidR="00D94FA8" w:rsidRDefault="00D94FA8">
      <w:pPr>
        <w:spacing w:after="200" w:line="276" w:lineRule="auto"/>
      </w:pPr>
    </w:p>
    <w:p w14:paraId="7B62663A" w14:textId="77777777" w:rsidR="00D94FA8" w:rsidRDefault="00D94FA8">
      <w:pPr>
        <w:spacing w:after="200" w:line="276" w:lineRule="auto"/>
      </w:pPr>
    </w:p>
    <w:p w14:paraId="08F8A8CC" w14:textId="77777777" w:rsidR="00D94FA8" w:rsidRDefault="00D94FA8">
      <w:pPr>
        <w:spacing w:after="200" w:line="276" w:lineRule="auto"/>
        <w:rPr>
          <w:b/>
        </w:rPr>
      </w:pPr>
      <w:r>
        <w:rPr>
          <w:b/>
        </w:rPr>
        <w:t>FIGURE 1: LIFT BARRIER IN ENGAGED POSITION</w:t>
      </w:r>
    </w:p>
    <w:p w14:paraId="467058F9" w14:textId="77777777" w:rsidR="00D94FA8" w:rsidRDefault="000A0EA8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7935D462" wp14:editId="2121AA4A">
            <wp:extent cx="3505200" cy="2629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t barrier engag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647" cy="263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3181" w14:textId="77777777" w:rsidR="00C579F6" w:rsidRDefault="001B0D4F">
      <w:pPr>
        <w:spacing w:after="200" w:line="276" w:lineRule="auto"/>
        <w:sectPr w:rsidR="00C579F6" w:rsidSect="00E43CE8"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  <w:r>
        <w:br w:type="page"/>
      </w:r>
    </w:p>
    <w:p w14:paraId="58021507" w14:textId="77777777" w:rsidR="001B0D4F" w:rsidRPr="006B0612" w:rsidRDefault="00C579F6">
      <w:pPr>
        <w:spacing w:after="200" w:line="276" w:lineRule="auto"/>
        <w:rPr>
          <w:b/>
        </w:rPr>
      </w:pPr>
      <w:r w:rsidRPr="006B0612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38EA7EF" wp14:editId="32CD478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461366" cy="53721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care chart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680" cy="537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A8">
        <w:rPr>
          <w:b/>
        </w:rPr>
        <w:t xml:space="preserve">FIGURE 2: </w:t>
      </w:r>
      <w:r w:rsidR="006B0612" w:rsidRPr="006B0612">
        <w:rPr>
          <w:b/>
        </w:rPr>
        <w:t>DANGEROUS GOODS COMPATIBILITY &amp; GHS COMPARISON CHART</w:t>
      </w:r>
    </w:p>
    <w:p w14:paraId="62ED8E59" w14:textId="77777777" w:rsidR="00BC3623" w:rsidRDefault="00BC3623" w:rsidP="001B0D4F">
      <w:pPr>
        <w:rPr>
          <w:noProof/>
        </w:rPr>
      </w:pPr>
    </w:p>
    <w:p w14:paraId="4E7AE03F" w14:textId="77777777" w:rsidR="00BC3623" w:rsidRDefault="00BC3623" w:rsidP="001B0D4F">
      <w:pPr>
        <w:rPr>
          <w:noProof/>
        </w:rPr>
      </w:pPr>
    </w:p>
    <w:p w14:paraId="5AF9AAA6" w14:textId="77777777" w:rsidR="00BC3623" w:rsidRDefault="00BC3623" w:rsidP="001B0D4F">
      <w:pPr>
        <w:rPr>
          <w:noProof/>
        </w:rPr>
      </w:pPr>
    </w:p>
    <w:p w14:paraId="3714935F" w14:textId="77777777" w:rsidR="00BC3623" w:rsidRDefault="006A6955" w:rsidP="001B0D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3CE4E0" wp14:editId="23252404">
            <wp:simplePos x="0" y="0"/>
            <wp:positionH relativeFrom="margin">
              <wp:posOffset>7879715</wp:posOffset>
            </wp:positionH>
            <wp:positionV relativeFrom="paragraph">
              <wp:posOffset>6350</wp:posOffset>
            </wp:positionV>
            <wp:extent cx="2183765" cy="4948555"/>
            <wp:effectExtent l="0" t="0" r="698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care comparis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68106" w14:textId="77777777" w:rsidR="00BC3623" w:rsidRDefault="00BC3623" w:rsidP="001B0D4F">
      <w:pPr>
        <w:rPr>
          <w:noProof/>
        </w:rPr>
      </w:pPr>
    </w:p>
    <w:p w14:paraId="16709108" w14:textId="77777777" w:rsidR="00BC3623" w:rsidRDefault="00BC3623" w:rsidP="001B0D4F">
      <w:pPr>
        <w:rPr>
          <w:noProof/>
        </w:rPr>
      </w:pPr>
    </w:p>
    <w:p w14:paraId="7778AF2D" w14:textId="77777777" w:rsidR="00BC3623" w:rsidRDefault="00BC3623" w:rsidP="001B0D4F">
      <w:pPr>
        <w:rPr>
          <w:noProof/>
        </w:rPr>
      </w:pPr>
    </w:p>
    <w:p w14:paraId="6BE5584B" w14:textId="77777777" w:rsidR="00BC3623" w:rsidRDefault="00BC3623" w:rsidP="001B0D4F">
      <w:pPr>
        <w:rPr>
          <w:noProof/>
        </w:rPr>
      </w:pPr>
    </w:p>
    <w:p w14:paraId="58791454" w14:textId="77777777" w:rsidR="00BC3623" w:rsidRDefault="00BC3623" w:rsidP="001B0D4F">
      <w:pPr>
        <w:rPr>
          <w:noProof/>
        </w:rPr>
      </w:pPr>
    </w:p>
    <w:p w14:paraId="380DC7B0" w14:textId="77777777" w:rsidR="00BC3623" w:rsidRDefault="00BC3623" w:rsidP="001B0D4F">
      <w:pPr>
        <w:rPr>
          <w:noProof/>
        </w:rPr>
      </w:pPr>
    </w:p>
    <w:p w14:paraId="03B2775E" w14:textId="77777777" w:rsidR="00BC3623" w:rsidRDefault="006A6955" w:rsidP="001B0D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E38199" wp14:editId="4CEFA3BF">
            <wp:simplePos x="0" y="0"/>
            <wp:positionH relativeFrom="margin">
              <wp:posOffset>5488305</wp:posOffset>
            </wp:positionH>
            <wp:positionV relativeFrom="paragraph">
              <wp:posOffset>8766</wp:posOffset>
            </wp:positionV>
            <wp:extent cx="2343704" cy="3904392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care ke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04" cy="390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A0F1D" w14:textId="77777777" w:rsidR="00BC3623" w:rsidRDefault="00BC3623" w:rsidP="001B0D4F">
      <w:pPr>
        <w:rPr>
          <w:noProof/>
        </w:rPr>
      </w:pPr>
    </w:p>
    <w:p w14:paraId="6142ADB1" w14:textId="77777777" w:rsidR="00BC3623" w:rsidRDefault="00BC3623" w:rsidP="001B0D4F">
      <w:pPr>
        <w:rPr>
          <w:noProof/>
        </w:rPr>
      </w:pPr>
    </w:p>
    <w:p w14:paraId="560E3757" w14:textId="77777777" w:rsidR="00BC3623" w:rsidRDefault="00BC3623" w:rsidP="001B0D4F">
      <w:pPr>
        <w:rPr>
          <w:noProof/>
        </w:rPr>
      </w:pPr>
    </w:p>
    <w:p w14:paraId="7A6DEEDA" w14:textId="77777777" w:rsidR="00BC3623" w:rsidRDefault="00BC3623" w:rsidP="001B0D4F">
      <w:pPr>
        <w:rPr>
          <w:noProof/>
        </w:rPr>
      </w:pPr>
    </w:p>
    <w:p w14:paraId="667110C3" w14:textId="77777777" w:rsidR="00BC3623" w:rsidRDefault="00BC3623" w:rsidP="001B0D4F">
      <w:pPr>
        <w:rPr>
          <w:noProof/>
        </w:rPr>
      </w:pPr>
    </w:p>
    <w:p w14:paraId="1A9CF484" w14:textId="77777777" w:rsidR="00BC3623" w:rsidRDefault="00BC3623" w:rsidP="001B0D4F">
      <w:pPr>
        <w:rPr>
          <w:noProof/>
        </w:rPr>
      </w:pPr>
    </w:p>
    <w:p w14:paraId="125D201B" w14:textId="77777777" w:rsidR="00BC3623" w:rsidRDefault="00BC3623" w:rsidP="001B0D4F">
      <w:pPr>
        <w:rPr>
          <w:noProof/>
        </w:rPr>
      </w:pPr>
    </w:p>
    <w:p w14:paraId="19A56F79" w14:textId="77777777" w:rsidR="00BC3623" w:rsidRDefault="00BC3623" w:rsidP="001B0D4F">
      <w:pPr>
        <w:rPr>
          <w:noProof/>
        </w:rPr>
      </w:pPr>
    </w:p>
    <w:p w14:paraId="7AB22941" w14:textId="77777777" w:rsidR="00BC3623" w:rsidRDefault="00BC3623" w:rsidP="001B0D4F">
      <w:pPr>
        <w:rPr>
          <w:noProof/>
        </w:rPr>
      </w:pPr>
    </w:p>
    <w:p w14:paraId="1FE59A93" w14:textId="77777777" w:rsidR="00BC3623" w:rsidRDefault="00BC3623" w:rsidP="001B0D4F">
      <w:pPr>
        <w:rPr>
          <w:noProof/>
        </w:rPr>
      </w:pPr>
    </w:p>
    <w:p w14:paraId="4667CBE6" w14:textId="77777777" w:rsidR="00BC3623" w:rsidRDefault="00BC3623" w:rsidP="001B0D4F">
      <w:pPr>
        <w:rPr>
          <w:noProof/>
        </w:rPr>
      </w:pPr>
    </w:p>
    <w:p w14:paraId="17060FDF" w14:textId="77777777" w:rsidR="00BC3623" w:rsidRDefault="00BC3623" w:rsidP="001B0D4F">
      <w:pPr>
        <w:rPr>
          <w:noProof/>
        </w:rPr>
      </w:pPr>
    </w:p>
    <w:p w14:paraId="5E9BA544" w14:textId="77777777" w:rsidR="00BC3623" w:rsidRDefault="00BC3623" w:rsidP="001B0D4F">
      <w:pPr>
        <w:rPr>
          <w:noProof/>
        </w:rPr>
      </w:pPr>
    </w:p>
    <w:p w14:paraId="142017F1" w14:textId="77777777" w:rsidR="00BC3623" w:rsidRDefault="00BC3623" w:rsidP="001B0D4F">
      <w:pPr>
        <w:rPr>
          <w:noProof/>
        </w:rPr>
      </w:pPr>
    </w:p>
    <w:p w14:paraId="2E434428" w14:textId="77777777" w:rsidR="00BC3623" w:rsidRDefault="00BC3623" w:rsidP="001B0D4F">
      <w:pPr>
        <w:rPr>
          <w:noProof/>
        </w:rPr>
      </w:pPr>
    </w:p>
    <w:p w14:paraId="659A7092" w14:textId="77777777" w:rsidR="00BC3623" w:rsidRDefault="00BC3623" w:rsidP="001B0D4F">
      <w:pPr>
        <w:rPr>
          <w:noProof/>
        </w:rPr>
      </w:pPr>
    </w:p>
    <w:p w14:paraId="70DD7A29" w14:textId="77777777" w:rsidR="00BC3623" w:rsidRDefault="00BC3623" w:rsidP="001B0D4F">
      <w:pPr>
        <w:rPr>
          <w:noProof/>
        </w:rPr>
      </w:pPr>
    </w:p>
    <w:p w14:paraId="7BA47106" w14:textId="77777777" w:rsidR="00BC3623" w:rsidRDefault="00BC3623" w:rsidP="001B0D4F">
      <w:pPr>
        <w:rPr>
          <w:noProof/>
        </w:rPr>
      </w:pPr>
    </w:p>
    <w:p w14:paraId="6E90F660" w14:textId="77777777" w:rsidR="00BC3623" w:rsidRDefault="00BC3623" w:rsidP="001B0D4F">
      <w:pPr>
        <w:rPr>
          <w:noProof/>
        </w:rPr>
      </w:pPr>
    </w:p>
    <w:p w14:paraId="4A48C32D" w14:textId="77777777" w:rsidR="00BC3623" w:rsidRDefault="00BC3623" w:rsidP="001B0D4F">
      <w:pPr>
        <w:rPr>
          <w:noProof/>
        </w:rPr>
      </w:pPr>
    </w:p>
    <w:p w14:paraId="64746A64" w14:textId="77777777" w:rsidR="00BC3623" w:rsidRDefault="00BC3623" w:rsidP="001B0D4F">
      <w:pPr>
        <w:rPr>
          <w:noProof/>
        </w:rPr>
      </w:pPr>
    </w:p>
    <w:p w14:paraId="61225E62" w14:textId="77777777" w:rsidR="00BC3623" w:rsidRDefault="00BC3623" w:rsidP="001B0D4F">
      <w:pPr>
        <w:rPr>
          <w:noProof/>
        </w:rPr>
      </w:pPr>
    </w:p>
    <w:p w14:paraId="7E8BD08E" w14:textId="77777777" w:rsidR="00C37ECC" w:rsidRDefault="00C37ECC" w:rsidP="001B0D4F">
      <w:pPr>
        <w:rPr>
          <w:noProof/>
        </w:rPr>
      </w:pPr>
    </w:p>
    <w:p w14:paraId="54CCDA8F" w14:textId="77777777" w:rsidR="006A6955" w:rsidRDefault="006A6955" w:rsidP="001B0D4F">
      <w:pPr>
        <w:rPr>
          <w:noProof/>
        </w:rPr>
      </w:pPr>
    </w:p>
    <w:p w14:paraId="51E98D45" w14:textId="77777777" w:rsidR="006A6955" w:rsidRDefault="006A6955" w:rsidP="001B0D4F">
      <w:pPr>
        <w:rPr>
          <w:noProof/>
        </w:rPr>
      </w:pPr>
    </w:p>
    <w:p w14:paraId="07DD6A6F" w14:textId="77777777" w:rsidR="006A6955" w:rsidRDefault="006A6955" w:rsidP="001B0D4F">
      <w:pPr>
        <w:rPr>
          <w:noProof/>
        </w:rPr>
      </w:pPr>
    </w:p>
    <w:p w14:paraId="5448DA0C" w14:textId="77777777" w:rsidR="006A6955" w:rsidRDefault="006A6955" w:rsidP="001B0D4F">
      <w:pPr>
        <w:rPr>
          <w:noProof/>
        </w:rPr>
      </w:pPr>
    </w:p>
    <w:p w14:paraId="09E1E145" w14:textId="77777777" w:rsidR="006A6955" w:rsidRDefault="006A6955" w:rsidP="001B0D4F">
      <w:pPr>
        <w:rPr>
          <w:noProof/>
        </w:rPr>
      </w:pPr>
    </w:p>
    <w:p w14:paraId="398BBE8D" w14:textId="77777777" w:rsidR="006A6955" w:rsidRDefault="006A6955" w:rsidP="001B0D4F">
      <w:pPr>
        <w:rPr>
          <w:noProof/>
        </w:rPr>
      </w:pPr>
    </w:p>
    <w:p w14:paraId="411A00B0" w14:textId="77777777" w:rsidR="006A6955" w:rsidRPr="001B0D4F" w:rsidRDefault="006A6955" w:rsidP="001B0D4F">
      <w:pPr>
        <w:rPr>
          <w:noProof/>
        </w:rPr>
      </w:pPr>
      <w:r>
        <w:rPr>
          <w:noProof/>
        </w:rPr>
        <w:t xml:space="preserve">Source: Adapted from </w:t>
      </w:r>
      <w:hyperlink r:id="rId20" w:history="1">
        <w:r w:rsidRPr="00D13C27">
          <w:rPr>
            <w:rStyle w:val="Hyperlink"/>
            <w:noProof/>
          </w:rPr>
          <w:t>http://www.comcare.gov.au/__data/assets/pdf_file/0010/155089/03895_RO_GHS_ADG_quick_guide_v99x210_v28.pdf</w:t>
        </w:r>
      </w:hyperlink>
      <w:r>
        <w:rPr>
          <w:noProof/>
        </w:rPr>
        <w:t xml:space="preserve"> </w:t>
      </w:r>
    </w:p>
    <w:sectPr w:rsidR="006A6955" w:rsidRPr="001B0D4F" w:rsidSect="00C579F6">
      <w:pgSz w:w="16838" w:h="11906" w:orient="landscape" w:code="9"/>
      <w:pgMar w:top="720" w:right="397" w:bottom="72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22D5" w14:textId="77777777" w:rsidR="00571C8F" w:rsidRDefault="00571C8F" w:rsidP="00571C8F">
      <w:r>
        <w:separator/>
      </w:r>
    </w:p>
  </w:endnote>
  <w:endnote w:type="continuationSeparator" w:id="0">
    <w:p w14:paraId="7BC900F5" w14:textId="77777777" w:rsidR="00571C8F" w:rsidRDefault="00571C8F" w:rsidP="005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B613" w14:textId="77777777" w:rsidR="00571C8F" w:rsidRDefault="00571C8F" w:rsidP="00571C8F">
      <w:r>
        <w:separator/>
      </w:r>
    </w:p>
  </w:footnote>
  <w:footnote w:type="continuationSeparator" w:id="0">
    <w:p w14:paraId="06A4FFE3" w14:textId="77777777" w:rsidR="00571C8F" w:rsidRDefault="00571C8F" w:rsidP="005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ED"/>
    <w:rsid w:val="00073A22"/>
    <w:rsid w:val="00094C3C"/>
    <w:rsid w:val="000A0EA8"/>
    <w:rsid w:val="000B5767"/>
    <w:rsid w:val="00197674"/>
    <w:rsid w:val="001B0D4F"/>
    <w:rsid w:val="001B557B"/>
    <w:rsid w:val="0024060E"/>
    <w:rsid w:val="0027103E"/>
    <w:rsid w:val="002D6BAD"/>
    <w:rsid w:val="00317C9C"/>
    <w:rsid w:val="00337796"/>
    <w:rsid w:val="003830BF"/>
    <w:rsid w:val="003D783E"/>
    <w:rsid w:val="0043240C"/>
    <w:rsid w:val="00442D70"/>
    <w:rsid w:val="00446237"/>
    <w:rsid w:val="0054090C"/>
    <w:rsid w:val="00571C8F"/>
    <w:rsid w:val="00582F04"/>
    <w:rsid w:val="006046ED"/>
    <w:rsid w:val="006520AC"/>
    <w:rsid w:val="0066757A"/>
    <w:rsid w:val="006A6955"/>
    <w:rsid w:val="006B0612"/>
    <w:rsid w:val="006E4F27"/>
    <w:rsid w:val="007A6859"/>
    <w:rsid w:val="008061C8"/>
    <w:rsid w:val="008541DF"/>
    <w:rsid w:val="008B1E35"/>
    <w:rsid w:val="00902FA9"/>
    <w:rsid w:val="00937F37"/>
    <w:rsid w:val="00962A9B"/>
    <w:rsid w:val="009C0B9D"/>
    <w:rsid w:val="00A4020B"/>
    <w:rsid w:val="00A66770"/>
    <w:rsid w:val="00AB22FC"/>
    <w:rsid w:val="00B553BE"/>
    <w:rsid w:val="00B608A9"/>
    <w:rsid w:val="00B84F5C"/>
    <w:rsid w:val="00BB39F3"/>
    <w:rsid w:val="00BC3623"/>
    <w:rsid w:val="00BE75E8"/>
    <w:rsid w:val="00C01CF5"/>
    <w:rsid w:val="00C37ECC"/>
    <w:rsid w:val="00C52739"/>
    <w:rsid w:val="00C579F6"/>
    <w:rsid w:val="00C720C8"/>
    <w:rsid w:val="00C86C51"/>
    <w:rsid w:val="00D94FA8"/>
    <w:rsid w:val="00DB4646"/>
    <w:rsid w:val="00E00ABE"/>
    <w:rsid w:val="00E3676C"/>
    <w:rsid w:val="00E43CE8"/>
    <w:rsid w:val="00E56E45"/>
    <w:rsid w:val="00E73279"/>
    <w:rsid w:val="00ED56E1"/>
    <w:rsid w:val="00EE6C37"/>
    <w:rsid w:val="00EF3385"/>
    <w:rsid w:val="00F31510"/>
    <w:rsid w:val="00F32464"/>
    <w:rsid w:val="00F6363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816F46"/>
  <w15:docId w15:val="{F4E37B34-1A5F-4593-B146-2EAE605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ED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ED"/>
    <w:rPr>
      <w:rFonts w:ascii="Tahoma" w:eastAsia="Times New Roman" w:hAnsi="Tahoma" w:cs="Tahoma"/>
      <w:sz w:val="16"/>
      <w:szCs w:val="16"/>
      <w:lang w:eastAsia="en-AU"/>
    </w:rPr>
  </w:style>
  <w:style w:type="table" w:styleId="DarkList">
    <w:name w:val="Dark List"/>
    <w:basedOn w:val="TableNormal"/>
    <w:uiPriority w:val="70"/>
    <w:rsid w:val="006046ED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en-AU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leProfessional">
    <w:name w:val="Table Professional"/>
    <w:basedOn w:val="TableNormal"/>
    <w:rsid w:val="0060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1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8F"/>
    <w:rPr>
      <w:rFonts w:ascii="Arial" w:eastAsia="Times New Roman" w:hAnsi="Arial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84F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73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67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aff.flinders.edu.au/colleges-and-services/college-science-engineering/faqs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taff.flinders.edu.au/colleges-and-services/college-science-engineering/faqs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comcare.gov.au/__data/assets/pdf_file/0010/155089/03895_RO_GHS_ADG_quick_guide_v99x210_v2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taff.flinders.edu.au/colleges-and-services/college-science-engineering/faq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se.whs@flinders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Euripides</dc:creator>
  <cp:lastModifiedBy>Tanya Rodaro</cp:lastModifiedBy>
  <cp:revision>3</cp:revision>
  <cp:lastPrinted>2017-05-17T02:40:00Z</cp:lastPrinted>
  <dcterms:created xsi:type="dcterms:W3CDTF">2019-03-06T04:42:00Z</dcterms:created>
  <dcterms:modified xsi:type="dcterms:W3CDTF">2019-03-06T05:16:00Z</dcterms:modified>
</cp:coreProperties>
</file>