
<file path=[Content_Types].xml><?xml version="1.0" encoding="utf-8"?>
<Types xmlns="http://schemas.openxmlformats.org/package/2006/content-types">
  <Default ContentType="image/jpeg" Extension="jp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83B448" w14:textId="77777777" w:rsidR="003A5B42" w:rsidRPr="00512582" w:rsidRDefault="003A5B42" w:rsidP="003A5B42">
      <w:pPr>
        <w:pStyle w:val="Heading1"/>
      </w:pPr>
      <w:r>
        <w:t>Requirements for Contractor Engagement Guide</w:t>
      </w:r>
    </w:p>
    <w:tbl>
      <w:tblPr>
        <w:tblStyle w:val="ProcedureTable"/>
        <w:tblW w:w="10774" w:type="dxa"/>
        <w:tblInd w:w="-43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1418"/>
        <w:gridCol w:w="1275"/>
        <w:gridCol w:w="1276"/>
        <w:gridCol w:w="1985"/>
        <w:gridCol w:w="850"/>
      </w:tblGrid>
      <w:tr w:rsidR="003A5B42" w14:paraId="1EDFCA66" w14:textId="77777777" w:rsidTr="006F58FA">
        <w:trPr>
          <w:trHeight w:val="473"/>
        </w:trPr>
        <w:tc>
          <w:tcPr>
            <w:tcW w:w="3970" w:type="dxa"/>
            <w:vMerge w:val="restart"/>
            <w:shd w:val="clear" w:color="auto" w:fill="FFDC00"/>
          </w:tcPr>
          <w:p w14:paraId="50A7FD81" w14:textId="77777777" w:rsidR="003A5B42" w:rsidRPr="002D315E" w:rsidRDefault="003A5B42" w:rsidP="007739B3">
            <w:pPr>
              <w:rPr>
                <w:b/>
                <w:bCs/>
              </w:rPr>
            </w:pPr>
            <w:r w:rsidRPr="002D315E">
              <w:rPr>
                <w:b/>
                <w:bCs/>
              </w:rPr>
              <w:t>Contractor risk category</w:t>
            </w:r>
          </w:p>
          <w:p w14:paraId="57B5256A" w14:textId="77777777" w:rsidR="003A5B42" w:rsidRPr="007B6477" w:rsidRDefault="003A5B42" w:rsidP="007739B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(examples are included but list is not exhaustive)</w:t>
            </w:r>
          </w:p>
        </w:tc>
        <w:tc>
          <w:tcPr>
            <w:tcW w:w="1418" w:type="dxa"/>
            <w:vMerge w:val="restart"/>
            <w:shd w:val="clear" w:color="auto" w:fill="FFDC00"/>
          </w:tcPr>
          <w:p w14:paraId="5B692E65" w14:textId="77777777" w:rsidR="003A5B42" w:rsidRPr="002D315E" w:rsidRDefault="003A5B42" w:rsidP="007739B3">
            <w:pPr>
              <w:rPr>
                <w:b/>
                <w:bCs/>
              </w:rPr>
            </w:pPr>
            <w:r w:rsidRPr="002D315E">
              <w:rPr>
                <w:b/>
                <w:bCs/>
              </w:rPr>
              <w:t>Registration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</w:tcBorders>
            <w:shd w:val="clear" w:color="auto" w:fill="FFDC00"/>
          </w:tcPr>
          <w:p w14:paraId="6D25BF31" w14:textId="77777777" w:rsidR="003A5B42" w:rsidRPr="002D315E" w:rsidRDefault="003A5B42" w:rsidP="007739B3">
            <w:pPr>
              <w:jc w:val="center"/>
              <w:rPr>
                <w:b/>
                <w:bCs/>
              </w:rPr>
            </w:pPr>
            <w:r w:rsidRPr="002D315E">
              <w:rPr>
                <w:b/>
                <w:bCs/>
              </w:rPr>
              <w:t>Induction</w:t>
            </w:r>
          </w:p>
        </w:tc>
        <w:tc>
          <w:tcPr>
            <w:tcW w:w="1985" w:type="dxa"/>
            <w:vMerge w:val="restart"/>
            <w:shd w:val="clear" w:color="auto" w:fill="FFDC00"/>
          </w:tcPr>
          <w:p w14:paraId="5C24A738" w14:textId="77777777" w:rsidR="003A5B42" w:rsidRPr="002D315E" w:rsidRDefault="003A5B42" w:rsidP="007739B3">
            <w:pPr>
              <w:rPr>
                <w:b/>
                <w:bCs/>
              </w:rPr>
            </w:pPr>
            <w:r w:rsidRPr="002D315E">
              <w:rPr>
                <w:b/>
                <w:bCs/>
              </w:rPr>
              <w:t>Risk management</w:t>
            </w:r>
          </w:p>
        </w:tc>
        <w:tc>
          <w:tcPr>
            <w:tcW w:w="850" w:type="dxa"/>
            <w:vMerge w:val="restart"/>
            <w:shd w:val="clear" w:color="auto" w:fill="FFDC00"/>
          </w:tcPr>
          <w:p w14:paraId="05300942" w14:textId="77777777" w:rsidR="003A5B42" w:rsidRPr="002D315E" w:rsidRDefault="003A5B42" w:rsidP="007739B3">
            <w:pPr>
              <w:rPr>
                <w:b/>
                <w:bCs/>
              </w:rPr>
            </w:pPr>
            <w:r w:rsidRPr="002D315E">
              <w:rPr>
                <w:b/>
                <w:bCs/>
              </w:rPr>
              <w:t>Sign in/out</w:t>
            </w:r>
          </w:p>
        </w:tc>
      </w:tr>
      <w:tr w:rsidR="003A5B42" w14:paraId="7BB5F419" w14:textId="77777777" w:rsidTr="006F58FA">
        <w:trPr>
          <w:trHeight w:val="472"/>
        </w:trPr>
        <w:tc>
          <w:tcPr>
            <w:tcW w:w="3970" w:type="dxa"/>
            <w:vMerge/>
            <w:shd w:val="clear" w:color="auto" w:fill="CBD3DE" w:themeFill="text2" w:themeFillTint="40"/>
          </w:tcPr>
          <w:p w14:paraId="0A645EFC" w14:textId="77777777" w:rsidR="003A5B42" w:rsidRPr="007B6477" w:rsidRDefault="003A5B42" w:rsidP="007739B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CBD3DE" w:themeFill="text2" w:themeFillTint="40"/>
          </w:tcPr>
          <w:p w14:paraId="479C984D" w14:textId="77777777" w:rsidR="003A5B42" w:rsidRPr="007B6477" w:rsidRDefault="003A5B42" w:rsidP="007739B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000000" w:themeColor="text1"/>
            </w:tcBorders>
            <w:shd w:val="clear" w:color="auto" w:fill="FFDC00"/>
          </w:tcPr>
          <w:p w14:paraId="5D8BA8FF" w14:textId="77777777" w:rsidR="003A5B42" w:rsidRPr="007B6477" w:rsidRDefault="003A5B42" w:rsidP="007739B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Contractor o</w:t>
            </w:r>
            <w:r w:rsidRPr="00512582">
              <w:rPr>
                <w:rFonts w:asciiTheme="minorHAnsi" w:hAnsiTheme="minorHAnsi" w:cstheme="minorHAnsi"/>
                <w:b/>
                <w:sz w:val="18"/>
                <w:szCs w:val="18"/>
              </w:rPr>
              <w:t>nline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induction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FFDC00"/>
          </w:tcPr>
          <w:p w14:paraId="51DF3579" w14:textId="77777777" w:rsidR="003A5B42" w:rsidRDefault="003A5B42" w:rsidP="007739B3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1258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Local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site s</w:t>
            </w:r>
            <w:r w:rsidRPr="00512582">
              <w:rPr>
                <w:rFonts w:asciiTheme="minorHAnsi" w:hAnsiTheme="minorHAnsi" w:cstheme="minorHAnsi"/>
                <w:b/>
                <w:sz w:val="18"/>
                <w:szCs w:val="18"/>
              </w:rPr>
              <w:t>pecific</w:t>
            </w:r>
          </w:p>
          <w:p w14:paraId="7B133FF1" w14:textId="77777777" w:rsidR="003A5B42" w:rsidRPr="007B6477" w:rsidRDefault="003A5B42" w:rsidP="007739B3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induction</w:t>
            </w:r>
          </w:p>
        </w:tc>
        <w:tc>
          <w:tcPr>
            <w:tcW w:w="1985" w:type="dxa"/>
            <w:vMerge/>
            <w:shd w:val="clear" w:color="auto" w:fill="CBD3DE" w:themeFill="text2" w:themeFillTint="40"/>
          </w:tcPr>
          <w:p w14:paraId="2C88EA5A" w14:textId="77777777" w:rsidR="003A5B42" w:rsidRPr="007B6477" w:rsidRDefault="003A5B42" w:rsidP="007739B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CBD3DE" w:themeFill="text2" w:themeFillTint="40"/>
          </w:tcPr>
          <w:p w14:paraId="1B934475" w14:textId="77777777" w:rsidR="003A5B42" w:rsidRPr="007B6477" w:rsidRDefault="003A5B42" w:rsidP="007739B3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A5B42" w14:paraId="3B7AFEEC" w14:textId="77777777" w:rsidTr="006F58FA">
        <w:tc>
          <w:tcPr>
            <w:tcW w:w="3970" w:type="dxa"/>
          </w:tcPr>
          <w:p w14:paraId="0E625ABF" w14:textId="324E1699" w:rsidR="003A5B42" w:rsidRPr="00222EA6" w:rsidRDefault="00D12B6D" w:rsidP="007739B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Negligible</w:t>
            </w:r>
          </w:p>
          <w:p w14:paraId="6E400802" w14:textId="77777777" w:rsidR="003A5B42" w:rsidRPr="00994566" w:rsidRDefault="003A5B42" w:rsidP="007739B3">
            <w:pPr>
              <w:spacing w:after="0"/>
              <w:rPr>
                <w:rFonts w:asciiTheme="minorHAnsi" w:hAnsiTheme="minorHAnsi" w:cstheme="minorHAnsi"/>
                <w:b/>
                <w:i/>
                <w:iCs/>
              </w:rPr>
            </w:pPr>
            <w:r w:rsidRPr="00994566">
              <w:rPr>
                <w:rFonts w:asciiTheme="minorHAnsi" w:hAnsiTheme="minorHAnsi" w:cstheme="minorHAnsi"/>
                <w:b/>
                <w:i/>
                <w:iCs/>
              </w:rPr>
              <w:t>Examples</w:t>
            </w:r>
          </w:p>
          <w:p w14:paraId="29801E87" w14:textId="77777777" w:rsidR="003A5B42" w:rsidRDefault="003A5B42" w:rsidP="003A5B42">
            <w:pPr>
              <w:pStyle w:val="ListBullet"/>
              <w:tabs>
                <w:tab w:val="clear" w:pos="479"/>
              </w:tabs>
              <w:ind w:left="164"/>
            </w:pPr>
            <w:r>
              <w:t>d</w:t>
            </w:r>
            <w:r w:rsidRPr="00222EA6">
              <w:t>elivery of items to general office/reception/public access area or contractors</w:t>
            </w:r>
          </w:p>
          <w:p w14:paraId="331FE6CD" w14:textId="77777777" w:rsidR="003A5B42" w:rsidRPr="00222EA6" w:rsidRDefault="003A5B42" w:rsidP="003A5B42">
            <w:pPr>
              <w:pStyle w:val="ListBullet"/>
              <w:tabs>
                <w:tab w:val="clear" w:pos="479"/>
              </w:tabs>
              <w:ind w:left="164"/>
            </w:pPr>
            <w:r>
              <w:t>p</w:t>
            </w:r>
            <w:r w:rsidRPr="00222EA6">
              <w:t xml:space="preserve">resenters or </w:t>
            </w:r>
            <w:r>
              <w:t>c</w:t>
            </w:r>
            <w:r w:rsidRPr="00222EA6">
              <w:t>onsultants accompanied at all times by a Flinders Uni</w:t>
            </w:r>
            <w:r>
              <w:t>versity</w:t>
            </w:r>
            <w:r w:rsidRPr="00222EA6">
              <w:t xml:space="preserve"> staff </w:t>
            </w:r>
            <w:r>
              <w:t>member</w:t>
            </w:r>
            <w:r w:rsidRPr="00222EA6">
              <w:t>/</w:t>
            </w:r>
            <w:r>
              <w:t>s</w:t>
            </w:r>
            <w:r w:rsidRPr="00222EA6">
              <w:t xml:space="preserve">tudent </w:t>
            </w:r>
          </w:p>
        </w:tc>
        <w:tc>
          <w:tcPr>
            <w:tcW w:w="1418" w:type="dxa"/>
          </w:tcPr>
          <w:p w14:paraId="69E6246E" w14:textId="77777777" w:rsidR="003A5B42" w:rsidRPr="000C4426" w:rsidRDefault="003A5B42" w:rsidP="007739B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C4426">
              <w:rPr>
                <w:rFonts w:asciiTheme="minorHAnsi" w:hAnsiTheme="minorHAnsi" w:cstheme="minorHAnsi"/>
                <w:b/>
                <w:bCs/>
              </w:rPr>
              <w:t>No</w:t>
            </w:r>
          </w:p>
        </w:tc>
        <w:tc>
          <w:tcPr>
            <w:tcW w:w="1275" w:type="dxa"/>
            <w:tcBorders>
              <w:right w:val="dotted" w:sz="4" w:space="0" w:color="000000" w:themeColor="text1"/>
            </w:tcBorders>
          </w:tcPr>
          <w:p w14:paraId="3D10879F" w14:textId="77777777" w:rsidR="003A5B42" w:rsidRPr="000C4426" w:rsidRDefault="003A5B42" w:rsidP="007739B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C4426">
              <w:rPr>
                <w:rFonts w:asciiTheme="minorHAnsi" w:hAnsiTheme="minorHAnsi" w:cstheme="minorHAnsi"/>
                <w:b/>
                <w:bCs/>
              </w:rPr>
              <w:t>No</w:t>
            </w:r>
          </w:p>
        </w:tc>
        <w:tc>
          <w:tcPr>
            <w:tcW w:w="1276" w:type="dxa"/>
            <w:tcBorders>
              <w:left w:val="dotted" w:sz="4" w:space="0" w:color="000000" w:themeColor="text1"/>
            </w:tcBorders>
          </w:tcPr>
          <w:p w14:paraId="3E2FBBAC" w14:textId="77777777" w:rsidR="003A5B42" w:rsidRPr="000C4426" w:rsidRDefault="003A5B42" w:rsidP="007739B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C4426">
              <w:rPr>
                <w:rFonts w:asciiTheme="minorHAnsi" w:hAnsiTheme="minorHAnsi" w:cstheme="minorHAnsi"/>
                <w:b/>
                <w:bCs/>
              </w:rPr>
              <w:t>No</w:t>
            </w:r>
          </w:p>
        </w:tc>
        <w:tc>
          <w:tcPr>
            <w:tcW w:w="1985" w:type="dxa"/>
          </w:tcPr>
          <w:p w14:paraId="483F9851" w14:textId="77777777" w:rsidR="003A5B42" w:rsidRPr="000C4426" w:rsidRDefault="003A5B42" w:rsidP="007739B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C4426">
              <w:rPr>
                <w:rFonts w:asciiTheme="minorHAnsi" w:hAnsiTheme="minorHAnsi" w:cstheme="minorHAnsi"/>
                <w:b/>
                <w:bCs/>
              </w:rPr>
              <w:t>No</w:t>
            </w:r>
          </w:p>
        </w:tc>
        <w:tc>
          <w:tcPr>
            <w:tcW w:w="850" w:type="dxa"/>
          </w:tcPr>
          <w:p w14:paraId="4AC3254E" w14:textId="77777777" w:rsidR="003A5B42" w:rsidRPr="000C4426" w:rsidRDefault="003A5B42" w:rsidP="007739B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C4426">
              <w:rPr>
                <w:rFonts w:asciiTheme="minorHAnsi" w:hAnsiTheme="minorHAnsi" w:cstheme="minorHAnsi"/>
                <w:b/>
                <w:bCs/>
              </w:rPr>
              <w:t>No</w:t>
            </w:r>
          </w:p>
        </w:tc>
      </w:tr>
      <w:tr w:rsidR="003A5B42" w14:paraId="3F4F1686" w14:textId="77777777" w:rsidTr="006F58FA">
        <w:tc>
          <w:tcPr>
            <w:tcW w:w="3970" w:type="dxa"/>
          </w:tcPr>
          <w:p w14:paraId="7892788D" w14:textId="60CC6D42" w:rsidR="003A5B42" w:rsidRPr="000C00F7" w:rsidRDefault="00D12B6D" w:rsidP="007739B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Minor</w:t>
            </w:r>
          </w:p>
          <w:p w14:paraId="2627AABE" w14:textId="77777777" w:rsidR="003A5B42" w:rsidRPr="00994566" w:rsidRDefault="003A5B42" w:rsidP="007739B3">
            <w:pPr>
              <w:spacing w:after="0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994566">
              <w:rPr>
                <w:rFonts w:asciiTheme="minorHAnsi" w:hAnsiTheme="minorHAnsi" w:cstheme="minorHAnsi"/>
                <w:b/>
                <w:bCs/>
                <w:i/>
                <w:iCs/>
              </w:rPr>
              <w:t>Examples</w:t>
            </w:r>
          </w:p>
          <w:p w14:paraId="5ACDF5B1" w14:textId="35C5A2AF" w:rsidR="003A5B42" w:rsidRDefault="00B1416F" w:rsidP="003A5B42">
            <w:pPr>
              <w:pStyle w:val="ListBullet"/>
              <w:tabs>
                <w:tab w:val="clear" w:pos="479"/>
              </w:tabs>
              <w:ind w:left="164"/>
            </w:pPr>
            <w:r>
              <w:t>P</w:t>
            </w:r>
            <w:r w:rsidR="003A5B42" w:rsidRPr="00222EA6">
              <w:t xml:space="preserve">erformers, </w:t>
            </w:r>
            <w:r w:rsidR="003A5B42">
              <w:t>e</w:t>
            </w:r>
            <w:r w:rsidR="003A5B42" w:rsidRPr="00222EA6">
              <w:t xml:space="preserve">ntertainers, </w:t>
            </w:r>
            <w:r w:rsidR="003A5B42">
              <w:t>a</w:t>
            </w:r>
            <w:r w:rsidR="003A5B42" w:rsidRPr="00222EA6">
              <w:t xml:space="preserve">uditors, photographers, </w:t>
            </w:r>
            <w:r w:rsidR="003A5B42">
              <w:t>c</w:t>
            </w:r>
            <w:r w:rsidR="003A5B42" w:rsidRPr="00222EA6">
              <w:t xml:space="preserve">atering, </w:t>
            </w:r>
            <w:r w:rsidR="003A5B42">
              <w:t>c</w:t>
            </w:r>
            <w:r>
              <w:t>onsultants (undertaking minor/low</w:t>
            </w:r>
            <w:r w:rsidR="003A5B42" w:rsidRPr="00222EA6">
              <w:t xml:space="preserve"> risk work and not accompanied by staff).</w:t>
            </w:r>
          </w:p>
          <w:p w14:paraId="2A5769C2" w14:textId="08CCD804" w:rsidR="003A5B42" w:rsidRPr="000C00F7" w:rsidRDefault="00B1416F" w:rsidP="003A5B42">
            <w:pPr>
              <w:pStyle w:val="ListBullet"/>
              <w:tabs>
                <w:tab w:val="clear" w:pos="479"/>
              </w:tabs>
              <w:ind w:left="164"/>
            </w:pPr>
            <w:r>
              <w:rPr>
                <w:rFonts w:asciiTheme="minorHAnsi" w:hAnsiTheme="minorHAnsi" w:cstheme="minorHAnsi"/>
              </w:rPr>
              <w:t>S</w:t>
            </w:r>
            <w:r w:rsidR="003A5B42" w:rsidRPr="000C00F7">
              <w:rPr>
                <w:rFonts w:asciiTheme="minorHAnsi" w:hAnsiTheme="minorHAnsi" w:cstheme="minorHAnsi"/>
              </w:rPr>
              <w:t xml:space="preserve">ervice </w:t>
            </w:r>
            <w:r w:rsidR="003A5B42">
              <w:rPr>
                <w:rFonts w:asciiTheme="minorHAnsi" w:hAnsiTheme="minorHAnsi" w:cstheme="minorHAnsi"/>
              </w:rPr>
              <w:t>t</w:t>
            </w:r>
            <w:r w:rsidR="003A5B42" w:rsidRPr="000C00F7">
              <w:rPr>
                <w:rFonts w:asciiTheme="minorHAnsi" w:hAnsiTheme="minorHAnsi" w:cstheme="minorHAnsi"/>
              </w:rPr>
              <w:t xml:space="preserve">echnicians for </w:t>
            </w:r>
            <w:r>
              <w:rPr>
                <w:rFonts w:asciiTheme="minorHAnsi" w:hAnsiTheme="minorHAnsi" w:cstheme="minorHAnsi"/>
              </w:rPr>
              <w:t>minor/</w:t>
            </w:r>
            <w:r w:rsidR="003A5B42" w:rsidRPr="000C00F7">
              <w:rPr>
                <w:rFonts w:asciiTheme="minorHAnsi" w:hAnsiTheme="minorHAnsi" w:cstheme="minorHAnsi"/>
              </w:rPr>
              <w:t>low risk equipment</w:t>
            </w:r>
            <w:r>
              <w:rPr>
                <w:rFonts w:asciiTheme="minorHAnsi" w:hAnsiTheme="minorHAnsi" w:cstheme="minorHAnsi"/>
              </w:rPr>
              <w:t xml:space="preserve"> maintenance or repair (</w:t>
            </w:r>
            <w:r w:rsidRPr="00B1416F">
              <w:rPr>
                <w:rFonts w:asciiTheme="minorHAnsi" w:hAnsiTheme="minorHAnsi" w:cstheme="minorHAnsi"/>
                <w:i/>
              </w:rPr>
              <w:t>not in hazardous environment)</w:t>
            </w:r>
            <w:r w:rsidR="003A5B42" w:rsidRPr="00B1416F">
              <w:rPr>
                <w:rFonts w:asciiTheme="minorHAnsi" w:hAnsiTheme="minorHAnsi" w:cstheme="minorHAnsi"/>
                <w:i/>
              </w:rPr>
              <w:t>.</w:t>
            </w:r>
          </w:p>
        </w:tc>
        <w:tc>
          <w:tcPr>
            <w:tcW w:w="1418" w:type="dxa"/>
          </w:tcPr>
          <w:p w14:paraId="768104E0" w14:textId="77777777" w:rsidR="003A5B42" w:rsidRPr="002D315E" w:rsidRDefault="003A5B42" w:rsidP="007739B3">
            <w:pPr>
              <w:jc w:val="center"/>
              <w:rPr>
                <w:rFonts w:asciiTheme="minorHAnsi" w:hAnsiTheme="minorHAnsi" w:cstheme="minorHAnsi"/>
                <w:b/>
                <w:bCs/>
                <w:vertAlign w:val="superscript"/>
              </w:rPr>
            </w:pPr>
            <w:r w:rsidRPr="000C4426">
              <w:rPr>
                <w:rFonts w:asciiTheme="minorHAnsi" w:hAnsiTheme="minorHAnsi" w:cstheme="minorHAnsi"/>
                <w:b/>
                <w:bCs/>
              </w:rPr>
              <w:t>Yes</w:t>
            </w:r>
            <w:r>
              <w:rPr>
                <w:rFonts w:asciiTheme="minorHAnsi" w:hAnsiTheme="minorHAnsi" w:cstheme="minorHAnsi"/>
                <w:b/>
                <w:bCs/>
                <w:vertAlign w:val="superscript"/>
              </w:rPr>
              <w:t>1</w:t>
            </w:r>
          </w:p>
        </w:tc>
        <w:tc>
          <w:tcPr>
            <w:tcW w:w="1275" w:type="dxa"/>
            <w:tcBorders>
              <w:right w:val="dotted" w:sz="4" w:space="0" w:color="000000" w:themeColor="text1"/>
            </w:tcBorders>
          </w:tcPr>
          <w:p w14:paraId="4EA4F791" w14:textId="77777777" w:rsidR="003A5B42" w:rsidRPr="000C4426" w:rsidRDefault="003A5B42" w:rsidP="007739B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C4426">
              <w:rPr>
                <w:rFonts w:asciiTheme="minorHAnsi" w:hAnsiTheme="minorHAnsi" w:cstheme="minorHAnsi"/>
                <w:b/>
                <w:bCs/>
              </w:rPr>
              <w:t>Yes</w:t>
            </w:r>
          </w:p>
        </w:tc>
        <w:tc>
          <w:tcPr>
            <w:tcW w:w="1276" w:type="dxa"/>
            <w:tcBorders>
              <w:left w:val="dotted" w:sz="4" w:space="0" w:color="000000" w:themeColor="text1"/>
            </w:tcBorders>
          </w:tcPr>
          <w:p w14:paraId="29BA48A0" w14:textId="77777777" w:rsidR="003A5B42" w:rsidRPr="000C4426" w:rsidRDefault="003A5B42" w:rsidP="007739B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C4426">
              <w:rPr>
                <w:rFonts w:asciiTheme="minorHAnsi" w:hAnsiTheme="minorHAnsi" w:cstheme="minorHAnsi"/>
                <w:b/>
                <w:bCs/>
              </w:rPr>
              <w:t>Yes</w:t>
            </w:r>
          </w:p>
        </w:tc>
        <w:tc>
          <w:tcPr>
            <w:tcW w:w="1985" w:type="dxa"/>
          </w:tcPr>
          <w:p w14:paraId="6A80D885" w14:textId="77777777" w:rsidR="003A5B42" w:rsidRPr="002D315E" w:rsidRDefault="003A5B42" w:rsidP="007739B3">
            <w:pPr>
              <w:jc w:val="center"/>
              <w:rPr>
                <w:rFonts w:asciiTheme="minorHAnsi" w:hAnsiTheme="minorHAnsi" w:cstheme="minorHAnsi"/>
                <w:b/>
                <w:bCs/>
                <w:vertAlign w:val="superscript"/>
              </w:rPr>
            </w:pPr>
            <w:r w:rsidRPr="000C4426">
              <w:rPr>
                <w:rFonts w:asciiTheme="minorHAnsi" w:hAnsiTheme="minorHAnsi" w:cstheme="minorHAnsi"/>
                <w:b/>
                <w:bCs/>
              </w:rPr>
              <w:t>Yes</w:t>
            </w:r>
            <w:r>
              <w:rPr>
                <w:rFonts w:asciiTheme="minorHAnsi" w:hAnsiTheme="minorHAnsi" w:cstheme="minorHAnsi"/>
                <w:b/>
                <w:bCs/>
                <w:vertAlign w:val="superscript"/>
              </w:rPr>
              <w:t>2</w:t>
            </w:r>
          </w:p>
        </w:tc>
        <w:tc>
          <w:tcPr>
            <w:tcW w:w="850" w:type="dxa"/>
          </w:tcPr>
          <w:p w14:paraId="6BFF6192" w14:textId="77777777" w:rsidR="003A5B42" w:rsidRPr="000C4426" w:rsidRDefault="003A5B42" w:rsidP="007739B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C4426">
              <w:rPr>
                <w:rFonts w:asciiTheme="minorHAnsi" w:hAnsiTheme="minorHAnsi" w:cstheme="minorHAnsi"/>
                <w:b/>
                <w:bCs/>
              </w:rPr>
              <w:t>Yes</w:t>
            </w:r>
          </w:p>
        </w:tc>
      </w:tr>
      <w:tr w:rsidR="003A5B42" w14:paraId="2D9EC2B8" w14:textId="77777777" w:rsidTr="006F58FA">
        <w:tc>
          <w:tcPr>
            <w:tcW w:w="3970" w:type="dxa"/>
          </w:tcPr>
          <w:p w14:paraId="581FEF84" w14:textId="531D1578" w:rsidR="003A5B42" w:rsidRDefault="00D12B6D" w:rsidP="007739B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Major</w:t>
            </w:r>
          </w:p>
          <w:p w14:paraId="5C3476D0" w14:textId="77777777" w:rsidR="003A5B42" w:rsidRPr="00994566" w:rsidRDefault="003A5B42" w:rsidP="007739B3">
            <w:pPr>
              <w:spacing w:after="0"/>
              <w:rPr>
                <w:rFonts w:asciiTheme="minorHAnsi" w:hAnsiTheme="minorHAnsi" w:cstheme="minorHAnsi"/>
                <w:b/>
                <w:i/>
                <w:iCs/>
              </w:rPr>
            </w:pPr>
            <w:r w:rsidRPr="00994566">
              <w:rPr>
                <w:rFonts w:asciiTheme="minorHAnsi" w:hAnsiTheme="minorHAnsi" w:cstheme="minorHAnsi"/>
                <w:b/>
                <w:i/>
                <w:iCs/>
              </w:rPr>
              <w:t>Examples</w:t>
            </w:r>
          </w:p>
          <w:p w14:paraId="63BEFDED" w14:textId="77777777" w:rsidR="003A5B42" w:rsidRDefault="003A5B42" w:rsidP="003A5B42">
            <w:pPr>
              <w:pStyle w:val="ListBullet"/>
              <w:tabs>
                <w:tab w:val="clear" w:pos="479"/>
              </w:tabs>
              <w:ind w:left="164"/>
            </w:pPr>
            <w:r>
              <w:t>m</w:t>
            </w:r>
            <w:r w:rsidRPr="00222EA6">
              <w:t xml:space="preserve">aintenance work, </w:t>
            </w:r>
            <w:r>
              <w:t>c</w:t>
            </w:r>
            <w:r w:rsidRPr="00222EA6">
              <w:t xml:space="preserve">leaners, </w:t>
            </w:r>
            <w:r>
              <w:t>s</w:t>
            </w:r>
            <w:r w:rsidRPr="00222EA6">
              <w:t xml:space="preserve">ecurity </w:t>
            </w:r>
          </w:p>
          <w:p w14:paraId="31204A4F" w14:textId="77777777" w:rsidR="003A5B42" w:rsidRDefault="003A5B42" w:rsidP="003A5B42">
            <w:pPr>
              <w:pStyle w:val="ListBullet"/>
              <w:tabs>
                <w:tab w:val="clear" w:pos="479"/>
              </w:tabs>
              <w:ind w:left="164"/>
            </w:pPr>
            <w:r>
              <w:t>Construction work-</w:t>
            </w:r>
            <w:r w:rsidRPr="00222EA6">
              <w:t>building, trade -renovations/works.</w:t>
            </w:r>
          </w:p>
          <w:p w14:paraId="3ECF910A" w14:textId="0A7F5562" w:rsidR="003A5B42" w:rsidRPr="00222EA6" w:rsidRDefault="00B1416F" w:rsidP="003A5B42">
            <w:pPr>
              <w:pStyle w:val="ListBullet"/>
              <w:tabs>
                <w:tab w:val="clear" w:pos="479"/>
              </w:tabs>
              <w:ind w:left="164"/>
            </w:pPr>
            <w:r>
              <w:rPr>
                <w:rFonts w:asciiTheme="minorHAnsi" w:hAnsiTheme="minorHAnsi" w:cstheme="minorHAnsi"/>
              </w:rPr>
              <w:t>S</w:t>
            </w:r>
            <w:r w:rsidR="003A5B42" w:rsidRPr="000C00F7">
              <w:rPr>
                <w:rFonts w:asciiTheme="minorHAnsi" w:hAnsiTheme="minorHAnsi" w:cstheme="minorHAnsi"/>
              </w:rPr>
              <w:t xml:space="preserve">ervice </w:t>
            </w:r>
            <w:r w:rsidR="003A5B42">
              <w:rPr>
                <w:rFonts w:asciiTheme="minorHAnsi" w:hAnsiTheme="minorHAnsi" w:cstheme="minorHAnsi"/>
              </w:rPr>
              <w:t>t</w:t>
            </w:r>
            <w:r w:rsidR="003A5B42" w:rsidRPr="000C00F7">
              <w:rPr>
                <w:rFonts w:asciiTheme="minorHAnsi" w:hAnsiTheme="minorHAnsi" w:cstheme="minorHAnsi"/>
              </w:rPr>
              <w:t xml:space="preserve">echnicians </w:t>
            </w:r>
            <w:r w:rsidR="003A5B42">
              <w:rPr>
                <w:rFonts w:asciiTheme="minorHAnsi" w:hAnsiTheme="minorHAnsi" w:cstheme="minorHAnsi"/>
              </w:rPr>
              <w:t>working in hazardous environments (</w:t>
            </w:r>
            <w:r w:rsidRPr="00B1416F">
              <w:rPr>
                <w:rFonts w:asciiTheme="minorHAnsi" w:hAnsiTheme="minorHAnsi" w:cstheme="minorHAnsi"/>
                <w:i/>
              </w:rPr>
              <w:t>e.g.</w:t>
            </w:r>
            <w:r w:rsidR="003A5B42" w:rsidRPr="00B1416F">
              <w:rPr>
                <w:rFonts w:asciiTheme="minorHAnsi" w:hAnsiTheme="minorHAnsi" w:cstheme="minorHAnsi"/>
                <w:i/>
              </w:rPr>
              <w:t xml:space="preserve"> labs, workshops, sensitive areas</w:t>
            </w:r>
            <w:r w:rsidR="003A5B42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418" w:type="dxa"/>
          </w:tcPr>
          <w:p w14:paraId="3BFC0C64" w14:textId="77777777" w:rsidR="003A5B42" w:rsidRPr="000C4426" w:rsidRDefault="003A5B42" w:rsidP="007739B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C4426">
              <w:rPr>
                <w:rFonts w:asciiTheme="minorHAnsi" w:hAnsiTheme="minorHAnsi" w:cstheme="minorHAnsi"/>
                <w:b/>
                <w:bCs/>
              </w:rPr>
              <w:t>Yes</w:t>
            </w:r>
          </w:p>
        </w:tc>
        <w:tc>
          <w:tcPr>
            <w:tcW w:w="1275" w:type="dxa"/>
            <w:tcBorders>
              <w:right w:val="dotted" w:sz="4" w:space="0" w:color="000000" w:themeColor="text1"/>
            </w:tcBorders>
          </w:tcPr>
          <w:p w14:paraId="4F743769" w14:textId="77777777" w:rsidR="003A5B42" w:rsidRPr="000C4426" w:rsidRDefault="003A5B42" w:rsidP="007739B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C4426">
              <w:rPr>
                <w:rFonts w:asciiTheme="minorHAnsi" w:hAnsiTheme="minorHAnsi" w:cstheme="minorHAnsi"/>
                <w:b/>
                <w:bCs/>
              </w:rPr>
              <w:t>Yes</w:t>
            </w:r>
          </w:p>
        </w:tc>
        <w:tc>
          <w:tcPr>
            <w:tcW w:w="1276" w:type="dxa"/>
            <w:tcBorders>
              <w:left w:val="dotted" w:sz="4" w:space="0" w:color="000000" w:themeColor="text1"/>
            </w:tcBorders>
          </w:tcPr>
          <w:p w14:paraId="387EA43E" w14:textId="77777777" w:rsidR="003A5B42" w:rsidRPr="000C4426" w:rsidRDefault="003A5B42" w:rsidP="007739B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C4426">
              <w:rPr>
                <w:rFonts w:asciiTheme="minorHAnsi" w:hAnsiTheme="minorHAnsi" w:cstheme="minorHAnsi"/>
                <w:b/>
                <w:bCs/>
              </w:rPr>
              <w:t>Yes</w:t>
            </w:r>
          </w:p>
        </w:tc>
        <w:tc>
          <w:tcPr>
            <w:tcW w:w="1985" w:type="dxa"/>
          </w:tcPr>
          <w:p w14:paraId="6D6FA3FB" w14:textId="77777777" w:rsidR="003A5B42" w:rsidRPr="000C4426" w:rsidRDefault="003A5B42" w:rsidP="007739B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C4426">
              <w:rPr>
                <w:rFonts w:asciiTheme="minorHAnsi" w:hAnsiTheme="minorHAnsi" w:cstheme="minorHAnsi"/>
                <w:b/>
                <w:bCs/>
              </w:rPr>
              <w:t>Yes</w:t>
            </w:r>
          </w:p>
          <w:p w14:paraId="6EF2BCA2" w14:textId="77777777" w:rsidR="003A5B42" w:rsidRDefault="003A5B42" w:rsidP="007739B3">
            <w:pPr>
              <w:rPr>
                <w:rFonts w:asciiTheme="minorHAnsi" w:hAnsiTheme="minorHAnsi" w:cstheme="minorHAnsi"/>
              </w:rPr>
            </w:pPr>
            <w:r w:rsidRPr="00222EA6">
              <w:rPr>
                <w:rFonts w:asciiTheme="minorHAnsi" w:hAnsiTheme="minorHAnsi" w:cstheme="minorHAnsi"/>
              </w:rPr>
              <w:t xml:space="preserve">Must include </w:t>
            </w:r>
          </w:p>
          <w:p w14:paraId="713B74C8" w14:textId="77777777" w:rsidR="003A5B42" w:rsidRDefault="003A5B42" w:rsidP="003A5B42">
            <w:pPr>
              <w:pStyle w:val="ListBullet"/>
              <w:tabs>
                <w:tab w:val="clear" w:pos="479"/>
              </w:tabs>
              <w:ind w:left="70" w:hanging="112"/>
            </w:pPr>
            <w:r w:rsidRPr="00222EA6">
              <w:t>all competency, licensing</w:t>
            </w:r>
            <w:r>
              <w:t>; and</w:t>
            </w:r>
            <w:r w:rsidRPr="00222EA6">
              <w:t xml:space="preserve"> </w:t>
            </w:r>
          </w:p>
          <w:p w14:paraId="10FC0615" w14:textId="77777777" w:rsidR="003A5B42" w:rsidRPr="00222EA6" w:rsidRDefault="003A5B42" w:rsidP="003A5B42">
            <w:pPr>
              <w:pStyle w:val="ListBullet"/>
              <w:tabs>
                <w:tab w:val="clear" w:pos="479"/>
              </w:tabs>
              <w:ind w:left="70" w:hanging="112"/>
            </w:pPr>
            <w:r>
              <w:t>either safe work procedures (SWPs) or</w:t>
            </w:r>
            <w:r w:rsidRPr="00222EA6">
              <w:t xml:space="preserve"> </w:t>
            </w:r>
            <w:r>
              <w:t>job safety analyses (JSAs)</w:t>
            </w:r>
            <w:r w:rsidRPr="00222EA6">
              <w:t xml:space="preserve"> </w:t>
            </w:r>
          </w:p>
        </w:tc>
        <w:tc>
          <w:tcPr>
            <w:tcW w:w="850" w:type="dxa"/>
          </w:tcPr>
          <w:p w14:paraId="2F821CFC" w14:textId="77777777" w:rsidR="003A5B42" w:rsidRPr="000C4426" w:rsidRDefault="003A5B42" w:rsidP="007739B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C4426">
              <w:rPr>
                <w:rFonts w:asciiTheme="minorHAnsi" w:hAnsiTheme="minorHAnsi" w:cstheme="minorHAnsi"/>
                <w:b/>
                <w:bCs/>
              </w:rPr>
              <w:t>Yes</w:t>
            </w:r>
          </w:p>
        </w:tc>
      </w:tr>
      <w:tr w:rsidR="003A5B42" w14:paraId="65BF4A62" w14:textId="77777777" w:rsidTr="006F58FA">
        <w:tc>
          <w:tcPr>
            <w:tcW w:w="3970" w:type="dxa"/>
          </w:tcPr>
          <w:p w14:paraId="3EA0D826" w14:textId="1503853C" w:rsidR="003A5B42" w:rsidRPr="000A5262" w:rsidRDefault="003A5B42" w:rsidP="007739B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A5262">
              <w:rPr>
                <w:rFonts w:asciiTheme="minorHAnsi" w:hAnsiTheme="minorHAnsi" w:cstheme="minorHAnsi"/>
                <w:b/>
                <w:sz w:val="22"/>
                <w:szCs w:val="22"/>
              </w:rPr>
              <w:t>High</w:t>
            </w:r>
            <w:r w:rsidR="00B1416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Risk Construction Work</w:t>
            </w:r>
            <w:r w:rsidR="00D12B6D">
              <w:rPr>
                <w:rFonts w:asciiTheme="minorHAnsi" w:hAnsiTheme="minorHAnsi" w:cstheme="minorHAnsi"/>
                <w:b/>
                <w:sz w:val="24"/>
                <w:szCs w:val="22"/>
                <w:vertAlign w:val="superscript"/>
              </w:rPr>
              <w:t>3</w:t>
            </w:r>
          </w:p>
          <w:p w14:paraId="3B90F256" w14:textId="77777777" w:rsidR="003A5B42" w:rsidRPr="00994566" w:rsidRDefault="003A5B42" w:rsidP="007739B3">
            <w:pPr>
              <w:spacing w:after="0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994566">
              <w:rPr>
                <w:rFonts w:asciiTheme="minorHAnsi" w:hAnsiTheme="minorHAnsi" w:cstheme="minorHAnsi"/>
                <w:b/>
                <w:bCs/>
                <w:i/>
                <w:iCs/>
              </w:rPr>
              <w:t>Examples</w:t>
            </w:r>
          </w:p>
          <w:p w14:paraId="42ADA07D" w14:textId="77777777" w:rsidR="003A5B42" w:rsidRDefault="003A5B42" w:rsidP="003A5B42">
            <w:pPr>
              <w:pStyle w:val="ListBullet"/>
              <w:spacing w:before="0" w:after="0"/>
              <w:ind w:left="476" w:hanging="238"/>
            </w:pPr>
            <w:r>
              <w:t>asbestos removal</w:t>
            </w:r>
          </w:p>
          <w:p w14:paraId="19F2ADAF" w14:textId="77777777" w:rsidR="003A5B42" w:rsidRDefault="003A5B42" w:rsidP="003A5B42">
            <w:pPr>
              <w:pStyle w:val="ListBullet"/>
              <w:spacing w:before="0" w:after="0"/>
              <w:ind w:left="476" w:hanging="238"/>
            </w:pPr>
            <w:r>
              <w:t>electrical work</w:t>
            </w:r>
          </w:p>
          <w:p w14:paraId="0DFDD6FD" w14:textId="77777777" w:rsidR="003A5B42" w:rsidRDefault="003A5B42" w:rsidP="003A5B42">
            <w:pPr>
              <w:pStyle w:val="ListBullet"/>
              <w:spacing w:before="0" w:after="0"/>
              <w:ind w:left="476" w:hanging="238"/>
            </w:pPr>
            <w:r w:rsidRPr="00222EA6">
              <w:t>demolition</w:t>
            </w:r>
            <w:r>
              <w:t xml:space="preserve"> work</w:t>
            </w:r>
            <w:r w:rsidRPr="00222EA6">
              <w:t xml:space="preserve"> </w:t>
            </w:r>
          </w:p>
          <w:p w14:paraId="5E2D552A" w14:textId="431B0A71" w:rsidR="003A5B42" w:rsidRPr="00222EA6" w:rsidRDefault="003A5B42" w:rsidP="00B1416F">
            <w:pPr>
              <w:pStyle w:val="ListBullet"/>
              <w:numPr>
                <w:ilvl w:val="0"/>
                <w:numId w:val="0"/>
              </w:numPr>
              <w:ind w:left="479"/>
            </w:pPr>
            <w:r w:rsidRPr="00222EA6">
              <w:t>.</w:t>
            </w:r>
          </w:p>
        </w:tc>
        <w:tc>
          <w:tcPr>
            <w:tcW w:w="1418" w:type="dxa"/>
          </w:tcPr>
          <w:p w14:paraId="0C292160" w14:textId="77777777" w:rsidR="003A5B42" w:rsidRPr="000C4426" w:rsidRDefault="003A5B42" w:rsidP="007739B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C4426">
              <w:rPr>
                <w:rFonts w:asciiTheme="minorHAnsi" w:hAnsiTheme="minorHAnsi" w:cstheme="minorHAnsi"/>
                <w:b/>
                <w:bCs/>
              </w:rPr>
              <w:t>Yes</w:t>
            </w:r>
          </w:p>
        </w:tc>
        <w:tc>
          <w:tcPr>
            <w:tcW w:w="1275" w:type="dxa"/>
            <w:tcBorders>
              <w:right w:val="dotted" w:sz="4" w:space="0" w:color="000000" w:themeColor="text1"/>
            </w:tcBorders>
          </w:tcPr>
          <w:p w14:paraId="20F20FAE" w14:textId="77777777" w:rsidR="003A5B42" w:rsidRPr="000C4426" w:rsidRDefault="003A5B42" w:rsidP="007739B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C4426">
              <w:rPr>
                <w:rFonts w:asciiTheme="minorHAnsi" w:hAnsiTheme="minorHAnsi" w:cstheme="minorHAnsi"/>
                <w:b/>
                <w:bCs/>
              </w:rPr>
              <w:t>Yes</w:t>
            </w:r>
          </w:p>
        </w:tc>
        <w:tc>
          <w:tcPr>
            <w:tcW w:w="1276" w:type="dxa"/>
            <w:tcBorders>
              <w:left w:val="dotted" w:sz="4" w:space="0" w:color="000000" w:themeColor="text1"/>
            </w:tcBorders>
          </w:tcPr>
          <w:p w14:paraId="01505BB5" w14:textId="77777777" w:rsidR="003A5B42" w:rsidRPr="000C4426" w:rsidRDefault="003A5B42" w:rsidP="007739B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C4426">
              <w:rPr>
                <w:rFonts w:asciiTheme="minorHAnsi" w:hAnsiTheme="minorHAnsi" w:cstheme="minorHAnsi"/>
                <w:b/>
                <w:bCs/>
              </w:rPr>
              <w:t>Yes</w:t>
            </w:r>
          </w:p>
        </w:tc>
        <w:tc>
          <w:tcPr>
            <w:tcW w:w="1985" w:type="dxa"/>
          </w:tcPr>
          <w:p w14:paraId="02DAEBE6" w14:textId="77777777" w:rsidR="003A5B42" w:rsidRPr="000C4426" w:rsidRDefault="003A5B42" w:rsidP="007739B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C4426">
              <w:rPr>
                <w:rFonts w:asciiTheme="minorHAnsi" w:hAnsiTheme="minorHAnsi" w:cstheme="minorHAnsi"/>
                <w:b/>
                <w:bCs/>
              </w:rPr>
              <w:t>Yes</w:t>
            </w:r>
          </w:p>
          <w:p w14:paraId="2398926D" w14:textId="77777777" w:rsidR="003A5B42" w:rsidRDefault="003A5B42" w:rsidP="007739B3">
            <w:pPr>
              <w:rPr>
                <w:rFonts w:asciiTheme="minorHAnsi" w:hAnsiTheme="minorHAnsi" w:cstheme="minorHAnsi"/>
              </w:rPr>
            </w:pPr>
            <w:r w:rsidRPr="00222EA6">
              <w:rPr>
                <w:rFonts w:asciiTheme="minorHAnsi" w:hAnsiTheme="minorHAnsi" w:cstheme="minorHAnsi"/>
              </w:rPr>
              <w:t xml:space="preserve">Must </w:t>
            </w:r>
            <w:r>
              <w:rPr>
                <w:rFonts w:asciiTheme="minorHAnsi" w:hAnsiTheme="minorHAnsi" w:cstheme="minorHAnsi"/>
              </w:rPr>
              <w:t xml:space="preserve">also </w:t>
            </w:r>
            <w:r w:rsidRPr="00222EA6">
              <w:rPr>
                <w:rFonts w:asciiTheme="minorHAnsi" w:hAnsiTheme="minorHAnsi" w:cstheme="minorHAnsi"/>
              </w:rPr>
              <w:t xml:space="preserve">include </w:t>
            </w:r>
          </w:p>
          <w:p w14:paraId="2F362398" w14:textId="77777777" w:rsidR="003A5B42" w:rsidRPr="00222EA6" w:rsidRDefault="003A5B42" w:rsidP="007739B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safe work method statements (</w:t>
            </w:r>
            <w:r w:rsidRPr="00222EA6">
              <w:rPr>
                <w:rFonts w:asciiTheme="minorHAnsi" w:hAnsiTheme="minorHAnsi" w:cstheme="minorHAnsi"/>
              </w:rPr>
              <w:t>SWMS</w:t>
            </w:r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850" w:type="dxa"/>
          </w:tcPr>
          <w:p w14:paraId="4B004E0E" w14:textId="77777777" w:rsidR="003A5B42" w:rsidRPr="000C4426" w:rsidRDefault="003A5B42" w:rsidP="007739B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C4426">
              <w:rPr>
                <w:rFonts w:asciiTheme="minorHAnsi" w:hAnsiTheme="minorHAnsi" w:cstheme="minorHAnsi"/>
                <w:b/>
                <w:bCs/>
              </w:rPr>
              <w:t>Yes</w:t>
            </w:r>
          </w:p>
        </w:tc>
      </w:tr>
      <w:tr w:rsidR="003A5B42" w14:paraId="0B41EEBA" w14:textId="77777777" w:rsidTr="006F58FA">
        <w:tc>
          <w:tcPr>
            <w:tcW w:w="3970" w:type="dxa"/>
          </w:tcPr>
          <w:p w14:paraId="76958B48" w14:textId="77777777" w:rsidR="003A5B42" w:rsidRPr="00E94A63" w:rsidRDefault="003A5B42" w:rsidP="007739B3">
            <w:pPr>
              <w:pStyle w:val="NoSpacing"/>
              <w:rPr>
                <w:b/>
                <w:bCs/>
              </w:rPr>
            </w:pPr>
            <w:r w:rsidRPr="00E94A63">
              <w:rPr>
                <w:b/>
                <w:bCs/>
              </w:rPr>
              <w:t>Construction Project</w:t>
            </w:r>
          </w:p>
          <w:p w14:paraId="620D48C2" w14:textId="77777777" w:rsidR="003A5B42" w:rsidRPr="00E94A63" w:rsidRDefault="003A5B42" w:rsidP="007739B3">
            <w:pPr>
              <w:pStyle w:val="NoSpacing"/>
              <w:rPr>
                <w:b/>
                <w:bCs/>
              </w:rPr>
            </w:pPr>
          </w:p>
        </w:tc>
        <w:tc>
          <w:tcPr>
            <w:tcW w:w="1418" w:type="dxa"/>
          </w:tcPr>
          <w:p w14:paraId="32AD2134" w14:textId="77777777" w:rsidR="003A5B42" w:rsidRPr="00E94A63" w:rsidRDefault="003A5B42" w:rsidP="007739B3">
            <w:pPr>
              <w:pStyle w:val="NoSpacing"/>
              <w:jc w:val="center"/>
              <w:rPr>
                <w:b/>
                <w:bCs/>
              </w:rPr>
            </w:pPr>
            <w:r w:rsidRPr="00E94A63">
              <w:rPr>
                <w:b/>
                <w:bCs/>
              </w:rPr>
              <w:t>Yes</w:t>
            </w:r>
          </w:p>
        </w:tc>
        <w:tc>
          <w:tcPr>
            <w:tcW w:w="1275" w:type="dxa"/>
            <w:tcBorders>
              <w:right w:val="dotted" w:sz="4" w:space="0" w:color="000000" w:themeColor="text1"/>
            </w:tcBorders>
          </w:tcPr>
          <w:p w14:paraId="36DFA2DB" w14:textId="77777777" w:rsidR="003A5B42" w:rsidRPr="00E94A63" w:rsidRDefault="003A5B42" w:rsidP="007739B3">
            <w:pPr>
              <w:pStyle w:val="NoSpacing"/>
              <w:jc w:val="center"/>
              <w:rPr>
                <w:b/>
                <w:bCs/>
              </w:rPr>
            </w:pPr>
            <w:r w:rsidRPr="00E94A63">
              <w:rPr>
                <w:b/>
                <w:bCs/>
              </w:rPr>
              <w:t>Yes</w:t>
            </w:r>
          </w:p>
        </w:tc>
        <w:tc>
          <w:tcPr>
            <w:tcW w:w="1276" w:type="dxa"/>
            <w:tcBorders>
              <w:left w:val="dotted" w:sz="4" w:space="0" w:color="000000" w:themeColor="text1"/>
            </w:tcBorders>
          </w:tcPr>
          <w:p w14:paraId="3C7772AB" w14:textId="77777777" w:rsidR="003A5B42" w:rsidRPr="00E94A63" w:rsidRDefault="003A5B42" w:rsidP="007739B3">
            <w:pPr>
              <w:pStyle w:val="NoSpacing"/>
              <w:jc w:val="center"/>
              <w:rPr>
                <w:b/>
              </w:rPr>
            </w:pPr>
            <w:r w:rsidRPr="00E94A63">
              <w:rPr>
                <w:b/>
              </w:rPr>
              <w:t>Yes</w:t>
            </w:r>
          </w:p>
        </w:tc>
        <w:tc>
          <w:tcPr>
            <w:tcW w:w="1985" w:type="dxa"/>
          </w:tcPr>
          <w:p w14:paraId="4D76CC0F" w14:textId="16783F93" w:rsidR="003A5B42" w:rsidRPr="00E94A63" w:rsidRDefault="003A5B42" w:rsidP="007739B3">
            <w:pPr>
              <w:pStyle w:val="NoSpacing"/>
              <w:jc w:val="center"/>
              <w:rPr>
                <w:b/>
                <w:vertAlign w:val="superscript"/>
              </w:rPr>
            </w:pPr>
            <w:r w:rsidRPr="00E94A63">
              <w:rPr>
                <w:b/>
              </w:rPr>
              <w:t>Yes</w:t>
            </w:r>
            <w:r w:rsidR="00D12B6D">
              <w:rPr>
                <w:b/>
                <w:vertAlign w:val="superscript"/>
              </w:rPr>
              <w:t>4</w:t>
            </w:r>
          </w:p>
          <w:p w14:paraId="60DBB182" w14:textId="77777777" w:rsidR="003A5B42" w:rsidRDefault="003A5B42" w:rsidP="007739B3">
            <w:pPr>
              <w:pStyle w:val="NoSpacing"/>
            </w:pPr>
            <w:r w:rsidRPr="00222EA6">
              <w:t xml:space="preserve">WHS </w:t>
            </w:r>
            <w:r>
              <w:t>M</w:t>
            </w:r>
            <w:r w:rsidRPr="00222EA6">
              <w:t xml:space="preserve">anagement </w:t>
            </w:r>
            <w:r>
              <w:t>P</w:t>
            </w:r>
            <w:r w:rsidRPr="00222EA6">
              <w:t>lan</w:t>
            </w:r>
          </w:p>
          <w:p w14:paraId="617F2F4B" w14:textId="77777777" w:rsidR="003A10DC" w:rsidRPr="000C4426" w:rsidRDefault="003A10DC" w:rsidP="007739B3">
            <w:pPr>
              <w:pStyle w:val="NoSpacing"/>
              <w:rPr>
                <w:bCs/>
              </w:rPr>
            </w:pPr>
          </w:p>
        </w:tc>
        <w:tc>
          <w:tcPr>
            <w:tcW w:w="850" w:type="dxa"/>
          </w:tcPr>
          <w:p w14:paraId="674633E6" w14:textId="77777777" w:rsidR="003A5B42" w:rsidRPr="00E94A63" w:rsidRDefault="003A5B42" w:rsidP="007739B3">
            <w:pPr>
              <w:pStyle w:val="NoSpacing"/>
              <w:rPr>
                <w:b/>
              </w:rPr>
            </w:pPr>
            <w:r w:rsidRPr="00E94A63">
              <w:rPr>
                <w:b/>
              </w:rPr>
              <w:t>Yes</w:t>
            </w:r>
          </w:p>
        </w:tc>
      </w:tr>
    </w:tbl>
    <w:p w14:paraId="5BB23CEB" w14:textId="7A18DC81" w:rsidR="003A10DC" w:rsidRPr="00D12B6D" w:rsidRDefault="003A10DC" w:rsidP="003A10DC">
      <w:pPr>
        <w:numPr>
          <w:ilvl w:val="0"/>
          <w:numId w:val="3"/>
        </w:numPr>
        <w:spacing w:after="0" w:line="240" w:lineRule="auto"/>
        <w:rPr>
          <w:rFonts w:asciiTheme="minorHAnsi" w:eastAsia="Times New Roman" w:hAnsiTheme="minorHAnsi" w:cstheme="minorHAnsi"/>
          <w:b/>
          <w:sz w:val="18"/>
          <w:szCs w:val="18"/>
        </w:rPr>
      </w:pPr>
      <w:r w:rsidRPr="00D12B6D">
        <w:rPr>
          <w:rFonts w:asciiTheme="minorHAnsi" w:eastAsia="Times New Roman" w:hAnsiTheme="minorHAnsi" w:cstheme="minorHAnsi"/>
          <w:b/>
          <w:sz w:val="18"/>
          <w:szCs w:val="18"/>
        </w:rPr>
        <w:t xml:space="preserve">A minimum of $20m (any one occurrence unlimited in the aggregate), is required. It may be reduced to $10m if risk </w:t>
      </w:r>
      <w:r w:rsidR="00D12B6D">
        <w:rPr>
          <w:rFonts w:asciiTheme="minorHAnsi" w:eastAsia="Times New Roman" w:hAnsiTheme="minorHAnsi" w:cstheme="minorHAnsi"/>
          <w:b/>
          <w:sz w:val="18"/>
          <w:szCs w:val="18"/>
        </w:rPr>
        <w:t xml:space="preserve">assessed as acceptable to do so- see </w:t>
      </w:r>
      <w:hyperlink r:id="rId8" w:history="1">
        <w:r w:rsidR="00B42C59" w:rsidRPr="00B42C59">
          <w:rPr>
            <w:rStyle w:val="Hyperlink"/>
            <w:rFonts w:asciiTheme="minorHAnsi" w:eastAsia="Times New Roman" w:hAnsiTheme="minorHAnsi" w:cstheme="minorHAnsi"/>
            <w:b/>
            <w:sz w:val="18"/>
            <w:szCs w:val="18"/>
          </w:rPr>
          <w:t>University Insurance</w:t>
        </w:r>
      </w:hyperlink>
      <w:bookmarkStart w:id="0" w:name="_GoBack"/>
      <w:bookmarkEnd w:id="0"/>
    </w:p>
    <w:p w14:paraId="139C4898" w14:textId="77777777" w:rsidR="003A5B42" w:rsidRPr="00D12B6D" w:rsidRDefault="003A5B42" w:rsidP="003A5B42">
      <w:pPr>
        <w:pStyle w:val="NoSpacing"/>
        <w:numPr>
          <w:ilvl w:val="0"/>
          <w:numId w:val="3"/>
        </w:numPr>
        <w:jc w:val="left"/>
        <w:rPr>
          <w:rFonts w:cstheme="minorHAnsi"/>
          <w:b/>
          <w:bCs/>
          <w:sz w:val="18"/>
          <w:szCs w:val="18"/>
        </w:rPr>
      </w:pPr>
      <w:r w:rsidRPr="00D12B6D">
        <w:rPr>
          <w:rFonts w:cstheme="minorHAnsi"/>
          <w:b/>
          <w:bCs/>
          <w:sz w:val="18"/>
          <w:szCs w:val="18"/>
        </w:rPr>
        <w:t>Basic risk management information can be in a number of forms e.g. may be part of event safety risk assessment or manufacture procedures.</w:t>
      </w:r>
    </w:p>
    <w:p w14:paraId="3D842FFD" w14:textId="7F6C5B00" w:rsidR="003A5B42" w:rsidRPr="00D12B6D" w:rsidRDefault="00D12B6D" w:rsidP="003A5B42">
      <w:pPr>
        <w:rPr>
          <w:rFonts w:asciiTheme="minorHAnsi" w:hAnsiTheme="minorHAnsi" w:cstheme="minorHAnsi"/>
          <w:b/>
          <w:sz w:val="18"/>
          <w:szCs w:val="18"/>
        </w:rPr>
      </w:pPr>
      <w:r w:rsidRPr="00D12B6D">
        <w:rPr>
          <w:rFonts w:asciiTheme="minorHAnsi" w:hAnsiTheme="minorHAnsi" w:cstheme="minorHAnsi"/>
          <w:b/>
          <w:sz w:val="18"/>
          <w:szCs w:val="18"/>
        </w:rPr>
        <w:t xml:space="preserve">3.    This is high risk </w:t>
      </w:r>
      <w:r w:rsidR="00B1416F">
        <w:rPr>
          <w:rFonts w:asciiTheme="minorHAnsi" w:hAnsiTheme="minorHAnsi" w:cstheme="minorHAnsi"/>
          <w:b/>
          <w:sz w:val="18"/>
          <w:szCs w:val="18"/>
        </w:rPr>
        <w:t xml:space="preserve">construction </w:t>
      </w:r>
      <w:r w:rsidRPr="00D12B6D">
        <w:rPr>
          <w:rFonts w:asciiTheme="minorHAnsi" w:hAnsiTheme="minorHAnsi" w:cstheme="minorHAnsi"/>
          <w:b/>
          <w:sz w:val="18"/>
          <w:szCs w:val="18"/>
        </w:rPr>
        <w:t>work as defined by WHS Legislation</w:t>
      </w:r>
    </w:p>
    <w:p w14:paraId="5FC743AD" w14:textId="206308F6" w:rsidR="00D12B6D" w:rsidRPr="00D12B6D" w:rsidRDefault="00D12B6D" w:rsidP="00D12B6D">
      <w:pPr>
        <w:pStyle w:val="NoSpacing"/>
        <w:jc w:val="left"/>
        <w:rPr>
          <w:rFonts w:cstheme="minorHAnsi"/>
          <w:sz w:val="18"/>
          <w:szCs w:val="18"/>
        </w:rPr>
      </w:pPr>
      <w:r w:rsidRPr="00D12B6D">
        <w:rPr>
          <w:rFonts w:cstheme="minorHAnsi"/>
          <w:b/>
          <w:bCs/>
          <w:sz w:val="18"/>
          <w:szCs w:val="18"/>
        </w:rPr>
        <w:t xml:space="preserve">4.  WHS management plan as set out in </w:t>
      </w:r>
      <w:hyperlink r:id="rId9" w:history="1">
        <w:r w:rsidRPr="00D12B6D">
          <w:rPr>
            <w:rStyle w:val="Hyperlink"/>
            <w:rFonts w:cstheme="minorHAnsi"/>
            <w:iCs/>
            <w:sz w:val="18"/>
            <w:szCs w:val="18"/>
          </w:rPr>
          <w:t>WHS Regulations SA 2012</w:t>
        </w:r>
      </w:hyperlink>
      <w:r w:rsidRPr="00D12B6D">
        <w:rPr>
          <w:rStyle w:val="Hyperlink"/>
          <w:rFonts w:cstheme="minorHAnsi"/>
          <w:iCs/>
          <w:sz w:val="18"/>
          <w:szCs w:val="18"/>
        </w:rPr>
        <w:t>- or equivalent in State/ Territory</w:t>
      </w:r>
    </w:p>
    <w:p w14:paraId="5C6A509D" w14:textId="12041BEB" w:rsidR="004C667A" w:rsidRDefault="004C667A"/>
    <w:sectPr w:rsidR="004C667A" w:rsidSect="006F58FA">
      <w:headerReference w:type="default" r:id="rId10"/>
      <w:footerReference w:type="default" r:id="rId11"/>
      <w:pgSz w:w="11906" w:h="16838" w:code="9"/>
      <w:pgMar w:top="1440" w:right="1080" w:bottom="1440" w:left="1080" w:header="624" w:footer="822" w:gutter="0"/>
      <w:cols w:space="22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0E4118" w14:textId="77777777" w:rsidR="003A5B42" w:rsidRDefault="003A5B42" w:rsidP="003A5B42">
      <w:pPr>
        <w:spacing w:after="0" w:line="240" w:lineRule="auto"/>
      </w:pPr>
      <w:r>
        <w:separator/>
      </w:r>
    </w:p>
  </w:endnote>
  <w:endnote w:type="continuationSeparator" w:id="0">
    <w:p w14:paraId="73F34884" w14:textId="77777777" w:rsidR="003A5B42" w:rsidRDefault="003A5B42" w:rsidP="003A5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ED23B9" w14:textId="44E94B0A" w:rsidR="00420B30" w:rsidRPr="00AE07C7" w:rsidRDefault="006F58FA" w:rsidP="00360FE5">
    <w:pPr>
      <w:pStyle w:val="Footer"/>
      <w:rPr>
        <w:rFonts w:asciiTheme="minorHAnsi" w:hAnsiTheme="minorHAnsi" w:cstheme="minorHAnsi"/>
        <w:noProof/>
        <w:sz w:val="16"/>
        <w:szCs w:val="16"/>
      </w:rPr>
    </w:pPr>
    <w:r w:rsidRPr="00AE07C7">
      <w:rPr>
        <w:rFonts w:asciiTheme="minorHAnsi" w:hAnsiTheme="minorHAnsi" w:cstheme="minorHAnsi"/>
        <w:noProof/>
        <w:sz w:val="16"/>
        <w:szCs w:val="16"/>
        <w:lang w:eastAsia="en-AU"/>
      </w:rPr>
      <w:drawing>
        <wp:anchor distT="0" distB="0" distL="114300" distR="114300" simplePos="0" relativeHeight="251657216" behindDoc="1" locked="0" layoutInCell="1" allowOverlap="1" wp14:anchorId="3D7A8443" wp14:editId="2030E12C">
          <wp:simplePos x="0" y="0"/>
          <wp:positionH relativeFrom="margin">
            <wp:posOffset>4695897</wp:posOffset>
          </wp:positionH>
          <wp:positionV relativeFrom="page">
            <wp:posOffset>10023894</wp:posOffset>
          </wp:positionV>
          <wp:extent cx="1371600" cy="672465"/>
          <wp:effectExtent l="0" t="0" r="0" b="0"/>
          <wp:wrapNone/>
          <wp:docPr id="4" name="Picture 4" descr="flinders.edu.au" title="flinders.edu.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Flinders-Foot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8501"/>
                  <a:stretch/>
                </pic:blipFill>
                <pic:spPr bwMode="auto">
                  <a:xfrm>
                    <a:off x="0" y="0"/>
                    <a:ext cx="1371600" cy="6724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58027CE" w14:textId="77777777" w:rsidR="00420B30" w:rsidRDefault="006F58FA" w:rsidP="00360FE5">
    <w:pPr>
      <w:pStyle w:val="Cricos"/>
      <w:framePr w:wrap="around"/>
    </w:pPr>
    <w:r>
      <w:t>CRICOS No. 00114A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5280D6" w14:textId="77777777" w:rsidR="003A5B42" w:rsidRDefault="003A5B42" w:rsidP="003A5B42">
      <w:pPr>
        <w:spacing w:after="0" w:line="240" w:lineRule="auto"/>
      </w:pPr>
      <w:r>
        <w:separator/>
      </w:r>
    </w:p>
  </w:footnote>
  <w:footnote w:type="continuationSeparator" w:id="0">
    <w:p w14:paraId="713792BA" w14:textId="77777777" w:rsidR="003A5B42" w:rsidRDefault="003A5B42" w:rsidP="003A5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487716" w14:textId="428A85B4" w:rsidR="00420B30" w:rsidRPr="00AE07C7" w:rsidRDefault="006F58FA" w:rsidP="00360FE5">
    <w:pPr>
      <w:pStyle w:val="Header"/>
      <w:rPr>
        <w:rFonts w:asciiTheme="minorHAnsi" w:hAnsiTheme="minorHAnsi" w:cstheme="minorHAnsi"/>
        <w:szCs w:val="16"/>
      </w:rPr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F148C1"/>
    <w:multiLevelType w:val="multilevel"/>
    <w:tmpl w:val="431CFD06"/>
    <w:lvl w:ilvl="0">
      <w:start w:val="1"/>
      <w:numFmt w:val="bullet"/>
      <w:pStyle w:val="ListBullet"/>
      <w:lvlText w:val=""/>
      <w:lvlJc w:val="left"/>
      <w:pPr>
        <w:tabs>
          <w:tab w:val="num" w:pos="479"/>
        </w:tabs>
        <w:ind w:left="479" w:hanging="241"/>
      </w:pPr>
      <w:rPr>
        <w:rFonts w:ascii="Symbol" w:hAnsi="Symbol" w:hint="default"/>
        <w:color w:val="000000" w:themeColor="text1"/>
        <w:sz w:val="16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714"/>
        </w:tabs>
        <w:ind w:left="714" w:hanging="238"/>
      </w:pPr>
      <w:rPr>
        <w:rFonts w:ascii="Symbol" w:hAnsi="Symbol" w:hint="default"/>
        <w:color w:val="000000" w:themeColor="text1"/>
        <w:sz w:val="16"/>
      </w:rPr>
    </w:lvl>
    <w:lvl w:ilvl="2">
      <w:start w:val="1"/>
      <w:numFmt w:val="bullet"/>
      <w:pStyle w:val="ListBullet3"/>
      <w:lvlText w:val="-"/>
      <w:lvlJc w:val="left"/>
      <w:pPr>
        <w:tabs>
          <w:tab w:val="num" w:pos="714"/>
        </w:tabs>
        <w:ind w:left="714" w:hanging="238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tabs>
          <w:tab w:val="num" w:pos="595"/>
        </w:tabs>
        <w:ind w:left="595" w:hanging="357"/>
      </w:pPr>
      <w:rPr>
        <w:rFonts w:ascii="Symbol" w:hAnsi="Symbol" w:hint="default"/>
        <w:color w:val="FF0000"/>
      </w:rPr>
    </w:lvl>
    <w:lvl w:ilvl="4">
      <w:start w:val="1"/>
      <w:numFmt w:val="none"/>
      <w:suff w:val="nothing"/>
      <w:lvlText w:val=""/>
      <w:lvlJc w:val="left"/>
      <w:pPr>
        <w:ind w:left="238" w:firstLine="0"/>
      </w:pPr>
      <w:rPr>
        <w:rFonts w:hint="default"/>
        <w:b/>
        <w:i w:val="0"/>
      </w:rPr>
    </w:lvl>
    <w:lvl w:ilvl="5">
      <w:start w:val="1"/>
      <w:numFmt w:val="none"/>
      <w:lvlText w:val=""/>
      <w:lvlJc w:val="left"/>
      <w:pPr>
        <w:ind w:left="238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238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38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238" w:firstLine="0"/>
      </w:pPr>
      <w:rPr>
        <w:rFonts w:hint="default"/>
      </w:rPr>
    </w:lvl>
  </w:abstractNum>
  <w:abstractNum w:abstractNumId="1" w15:restartNumberingAfterBreak="0">
    <w:nsid w:val="471418CD"/>
    <w:multiLevelType w:val="multilevel"/>
    <w:tmpl w:val="2522E91E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1418" w:hanging="851"/>
      </w:pPr>
      <w:rPr>
        <w:rFonts w:ascii="Arial" w:hAnsi="Arial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D5D4F16"/>
    <w:multiLevelType w:val="hybridMultilevel"/>
    <w:tmpl w:val="A9407F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A85CA9"/>
    <w:multiLevelType w:val="hybridMultilevel"/>
    <w:tmpl w:val="C0D42436"/>
    <w:lvl w:ilvl="0" w:tplc="55B68F4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B42"/>
    <w:rsid w:val="002001D0"/>
    <w:rsid w:val="003A10DC"/>
    <w:rsid w:val="003A5B42"/>
    <w:rsid w:val="004C667A"/>
    <w:rsid w:val="005D1F1D"/>
    <w:rsid w:val="006F58FA"/>
    <w:rsid w:val="00B066BC"/>
    <w:rsid w:val="00B1416F"/>
    <w:rsid w:val="00B42C59"/>
    <w:rsid w:val="00D12B6D"/>
    <w:rsid w:val="00E4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CD194A8"/>
  <w15:chartTrackingRefBased/>
  <w15:docId w15:val="{79AD2700-5EBF-4609-B2AC-0E54EDECB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44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6" w:unhideWhenUsed="1" w:qFormat="1"/>
    <w:lsdException w:name="List Bullet 3" w:semiHidden="1" w:uiPriority="16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B42"/>
    <w:pPr>
      <w:spacing w:after="120"/>
      <w:jc w:val="left"/>
    </w:pPr>
    <w:rPr>
      <w:rFonts w:ascii="Arial" w:hAnsi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1F1D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1F1D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1F1D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1F1D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1F1D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1F1D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1F1D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1F1D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1F1D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1F1D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1F1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1F1D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1F1D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1F1D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1F1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1F1D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1F1D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1F1D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D1F1D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D1F1D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5D1F1D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1F1D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D1F1D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5D1F1D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5D1F1D"/>
    <w:rPr>
      <w:i/>
      <w:iCs/>
      <w:color w:val="auto"/>
    </w:rPr>
  </w:style>
  <w:style w:type="paragraph" w:styleId="NoSpacing">
    <w:name w:val="No Spacing"/>
    <w:uiPriority w:val="1"/>
    <w:qFormat/>
    <w:rsid w:val="005D1F1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D1F1D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D1F1D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1F1D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1F1D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5D1F1D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5D1F1D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5D1F1D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D1F1D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5D1F1D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1F1D"/>
    <w:pPr>
      <w:outlineLvl w:val="9"/>
    </w:pPr>
  </w:style>
  <w:style w:type="paragraph" w:styleId="ListBullet">
    <w:name w:val="List Bullet"/>
    <w:basedOn w:val="Normal"/>
    <w:uiPriority w:val="16"/>
    <w:qFormat/>
    <w:rsid w:val="003A5B42"/>
    <w:pPr>
      <w:numPr>
        <w:numId w:val="1"/>
      </w:numPr>
    </w:pPr>
  </w:style>
  <w:style w:type="paragraph" w:styleId="ListBullet2">
    <w:name w:val="List Bullet 2"/>
    <w:basedOn w:val="ListBullet"/>
    <w:uiPriority w:val="16"/>
    <w:qFormat/>
    <w:rsid w:val="003A5B42"/>
    <w:pPr>
      <w:numPr>
        <w:ilvl w:val="1"/>
      </w:numPr>
    </w:pPr>
  </w:style>
  <w:style w:type="paragraph" w:styleId="Footer">
    <w:name w:val="footer"/>
    <w:basedOn w:val="Normal"/>
    <w:link w:val="FooterChar"/>
    <w:uiPriority w:val="99"/>
    <w:rsid w:val="003A5B42"/>
    <w:pPr>
      <w:tabs>
        <w:tab w:val="right" w:pos="9639"/>
      </w:tabs>
      <w:spacing w:after="0" w:line="240" w:lineRule="auto"/>
    </w:pPr>
    <w:rPr>
      <w:rFonts w:asciiTheme="majorHAnsi" w:hAnsiTheme="majorHAnsi"/>
      <w:b/>
      <w:color w:val="5B9BD5" w:themeColor="accent5"/>
      <w:sz w:val="22"/>
      <w:u w:color="5B9BD5" w:themeColor="accent5"/>
    </w:rPr>
  </w:style>
  <w:style w:type="character" w:customStyle="1" w:styleId="FooterChar">
    <w:name w:val="Footer Char"/>
    <w:basedOn w:val="DefaultParagraphFont"/>
    <w:link w:val="Footer"/>
    <w:uiPriority w:val="99"/>
    <w:rsid w:val="003A5B42"/>
    <w:rPr>
      <w:rFonts w:asciiTheme="majorHAnsi" w:hAnsiTheme="majorHAnsi"/>
      <w:b/>
      <w:color w:val="5B9BD5" w:themeColor="accent5"/>
      <w:szCs w:val="20"/>
      <w:u w:color="5B9BD5" w:themeColor="accent5"/>
    </w:rPr>
  </w:style>
  <w:style w:type="paragraph" w:styleId="ListBullet3">
    <w:name w:val="List Bullet 3"/>
    <w:basedOn w:val="Normal"/>
    <w:uiPriority w:val="16"/>
    <w:qFormat/>
    <w:rsid w:val="003A5B42"/>
    <w:pPr>
      <w:numPr>
        <w:ilvl w:val="2"/>
        <w:numId w:val="1"/>
      </w:numPr>
      <w:contextualSpacing/>
    </w:pPr>
  </w:style>
  <w:style w:type="paragraph" w:styleId="Header">
    <w:name w:val="header"/>
    <w:basedOn w:val="Normal"/>
    <w:link w:val="HeaderChar"/>
    <w:uiPriority w:val="44"/>
    <w:rsid w:val="003A5B42"/>
    <w:pPr>
      <w:pBdr>
        <w:bottom w:val="single" w:sz="12" w:space="1" w:color="E7E6E6" w:themeColor="background2"/>
      </w:pBdr>
      <w:tabs>
        <w:tab w:val="center" w:pos="4513"/>
        <w:tab w:val="right" w:pos="9026"/>
      </w:tabs>
      <w:spacing w:after="0" w:line="240" w:lineRule="auto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44"/>
    <w:rsid w:val="003A5B42"/>
    <w:rPr>
      <w:rFonts w:ascii="Arial" w:hAnsi="Arial"/>
      <w:sz w:val="16"/>
      <w:szCs w:val="20"/>
    </w:rPr>
  </w:style>
  <w:style w:type="character" w:styleId="Hyperlink">
    <w:name w:val="Hyperlink"/>
    <w:basedOn w:val="DefaultParagraphFont"/>
    <w:uiPriority w:val="99"/>
    <w:qFormat/>
    <w:rsid w:val="003A5B42"/>
    <w:rPr>
      <w:noProof w:val="0"/>
      <w:color w:val="0563C1" w:themeColor="hyperlink"/>
      <w:u w:val="single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3A5B42"/>
    <w:rPr>
      <w:noProof w:val="0"/>
      <w:sz w:val="16"/>
      <w:szCs w:val="16"/>
      <w:lang w:val="en-AU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5B4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5B42"/>
    <w:rPr>
      <w:rFonts w:ascii="Arial" w:hAnsi="Arial"/>
      <w:sz w:val="20"/>
      <w:szCs w:val="20"/>
    </w:rPr>
  </w:style>
  <w:style w:type="paragraph" w:customStyle="1" w:styleId="Cricos">
    <w:name w:val="Cricos"/>
    <w:basedOn w:val="Footer"/>
    <w:uiPriority w:val="99"/>
    <w:rsid w:val="003A5B42"/>
    <w:pPr>
      <w:framePr w:w="2835" w:h="953" w:hRule="exact" w:wrap="around" w:vAnchor="page" w:hAnchor="page" w:xAlign="center" w:yAlign="bottom"/>
      <w:jc w:val="center"/>
    </w:pPr>
    <w:rPr>
      <w:b w:val="0"/>
      <w:noProof/>
      <w:sz w:val="12"/>
    </w:rPr>
  </w:style>
  <w:style w:type="table" w:customStyle="1" w:styleId="ProcedureTable">
    <w:name w:val="Procedure Table"/>
    <w:basedOn w:val="TableNormal"/>
    <w:uiPriority w:val="99"/>
    <w:rsid w:val="003A5B42"/>
    <w:pPr>
      <w:spacing w:before="40" w:after="120" w:line="240" w:lineRule="auto"/>
      <w:jc w:val="left"/>
    </w:pPr>
    <w:rPr>
      <w:rFonts w:ascii="Arial" w:hAnsi="Arial"/>
      <w:sz w:val="20"/>
      <w:szCs w:val="20"/>
    </w:rPr>
    <w:tblPr>
      <w:tblStyleRowBandSize w:val="2"/>
      <w:tblStyleColBandSize w:val="2"/>
      <w:tblBorders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5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B42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12B6D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12B6D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12B6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12B6D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12B6D"/>
    <w:rPr>
      <w:rFonts w:ascii="Arial" w:hAnsi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12B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2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10" Target="header1.xml" Type="http://schemas.openxmlformats.org/officeDocument/2006/relationships/header"/><Relationship Id="rId11" Target="footer1.xml" Type="http://schemas.openxmlformats.org/officeDocument/2006/relationships/footer"/><Relationship Id="rId12" Target="fontTable.xml" Type="http://schemas.openxmlformats.org/officeDocument/2006/relationships/fontTable"/><Relationship Id="rId13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https://staff.flinders.edu.au/workplace-support/insurance" TargetMode="External" Type="http://schemas.openxmlformats.org/officeDocument/2006/relationships/hyperlink"/><Relationship Id="rId9" Target="https://www.legislation.sa.gov.au/LZ/C/R/WORK%20HEALTH%20AND%20SAFETY%20REGULATIONS%202012/CURRENT/2012.268.AUTH.PDF" TargetMode="External" Type="http://schemas.openxmlformats.org/officeDocument/2006/relationships/hyperlink"/></Relationships>
</file>

<file path=word/_rels/footer1.xml.rels><?xml version="1.0" encoding="UTF-8" standalone="no"?><Relationships xmlns="http://schemas.openxmlformats.org/package/2006/relationships"><Relationship Id="rId1" Target="media/image1.jpg" Type="http://schemas.openxmlformats.org/officeDocument/2006/relationships/imag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FED81-A8D2-4915-8BF0-801F6122E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2021-03-05T00:03:00Z</dcterms:created>
  <dc:creator>Sean Graney</dc:creator>
  <cp:lastModifiedBy>Helen Webb</cp:lastModifiedBy>
  <dcterms:modified xsi:type="dcterms:W3CDTF">2021-03-05T00:03:00Z</dcterms:modified>
  <cp:revision>2</cp:revision>
  <dc:title>Requirements for Contractor Engagement Guide</dc:title>
</cp:coreProperties>
</file>